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E33B4" w14:textId="77777777" w:rsidR="00E17FC1" w:rsidRDefault="00774707" w:rsidP="00CC0D8E">
      <w:pPr>
        <w:spacing w:line="360" w:lineRule="auto"/>
        <w:jc w:val="center"/>
        <w:rPr>
          <w:rFonts w:eastAsia="Times New Roman"/>
          <w:b/>
          <w:lang w:eastAsia="en-US"/>
        </w:rPr>
      </w:pPr>
      <w:r w:rsidRPr="00CE661A">
        <w:rPr>
          <w:rFonts w:eastAsia="Times New Roman"/>
          <w:b/>
          <w:lang w:eastAsia="en-US"/>
        </w:rPr>
        <w:t>STATE OF GEORGIA</w:t>
      </w:r>
    </w:p>
    <w:p w14:paraId="3F9287B6" w14:textId="77777777" w:rsidR="00E17FC1" w:rsidRDefault="00E17FC1" w:rsidP="00654551">
      <w:pPr>
        <w:spacing w:line="360" w:lineRule="auto"/>
        <w:jc w:val="center"/>
        <w:rPr>
          <w:rFonts w:eastAsia="MS Mincho"/>
          <w:b/>
          <w:lang w:eastAsia="en-US"/>
        </w:rPr>
      </w:pPr>
    </w:p>
    <w:p w14:paraId="736D2CC0" w14:textId="77777777" w:rsidR="00E17FC1" w:rsidRDefault="00774707" w:rsidP="00654551">
      <w:pPr>
        <w:spacing w:line="360" w:lineRule="auto"/>
        <w:jc w:val="center"/>
        <w:rPr>
          <w:rFonts w:eastAsia="MS Mincho"/>
          <w:b/>
          <w:lang w:eastAsia="en-US"/>
        </w:rPr>
      </w:pPr>
      <w:r w:rsidRPr="00CE661A">
        <w:rPr>
          <w:rFonts w:eastAsia="MS Mincho"/>
          <w:b/>
          <w:lang w:eastAsia="en-US"/>
        </w:rPr>
        <w:t xml:space="preserve">BEFORE THE </w:t>
      </w:r>
    </w:p>
    <w:p w14:paraId="3E5AC793" w14:textId="77777777" w:rsidR="00E17FC1" w:rsidRPr="00CE661A" w:rsidRDefault="00774707" w:rsidP="00654551">
      <w:pPr>
        <w:spacing w:line="360" w:lineRule="auto"/>
        <w:jc w:val="center"/>
        <w:rPr>
          <w:rFonts w:eastAsia="MS Mincho"/>
          <w:b/>
          <w:lang w:eastAsia="en-US"/>
        </w:rPr>
      </w:pPr>
      <w:r w:rsidRPr="00CE661A">
        <w:rPr>
          <w:rFonts w:eastAsia="MS Mincho"/>
          <w:b/>
          <w:lang w:eastAsia="en-US"/>
        </w:rPr>
        <w:t>GEORGIA PUBLIC SERVICE COMMISSION</w:t>
      </w:r>
    </w:p>
    <w:p w14:paraId="3BA715C3" w14:textId="77777777" w:rsidR="00E17FC1" w:rsidRDefault="00E17FC1" w:rsidP="00654551">
      <w:pPr>
        <w:rPr>
          <w:rFonts w:eastAsia="Times New Roman"/>
          <w:b/>
          <w:lang w:eastAsia="en-US"/>
        </w:rPr>
      </w:pPr>
    </w:p>
    <w:p w14:paraId="13FABEFF" w14:textId="77777777" w:rsidR="00E17FC1" w:rsidRDefault="00E17FC1" w:rsidP="00654551">
      <w:pPr>
        <w:rPr>
          <w:rFonts w:eastAsia="Times New Roman"/>
          <w:b/>
          <w:lang w:eastAsia="en-US"/>
        </w:rPr>
      </w:pPr>
    </w:p>
    <w:p w14:paraId="157DF85C" w14:textId="77777777" w:rsidR="00E17FC1" w:rsidRDefault="00E17FC1" w:rsidP="00654551">
      <w:pPr>
        <w:rPr>
          <w:rFonts w:eastAsia="Times New Roman"/>
          <w:b/>
          <w:lang w:eastAsia="en-US"/>
        </w:rPr>
      </w:pPr>
    </w:p>
    <w:p w14:paraId="1CAD8BFC" w14:textId="77777777" w:rsidR="00E17FC1" w:rsidRPr="00CE661A" w:rsidRDefault="00774707" w:rsidP="00654551">
      <w:pPr>
        <w:spacing w:line="360" w:lineRule="auto"/>
        <w:rPr>
          <w:rFonts w:eastAsia="Times New Roman"/>
          <w:b/>
          <w:lang w:eastAsia="en-US"/>
        </w:rPr>
      </w:pPr>
      <w:r w:rsidRPr="00CE661A">
        <w:rPr>
          <w:rFonts w:eastAsia="Times New Roman"/>
          <w:b/>
          <w:lang w:eastAsia="en-US"/>
        </w:rPr>
        <w:t>Re:</w:t>
      </w:r>
    </w:p>
    <w:p w14:paraId="48DFFC9E" w14:textId="77777777" w:rsidR="00E17FC1" w:rsidRPr="00CE661A" w:rsidRDefault="00774707" w:rsidP="00654551">
      <w:pPr>
        <w:rPr>
          <w:rFonts w:eastAsia="Times New Roman"/>
          <w:b/>
          <w:lang w:eastAsia="en-US"/>
        </w:rPr>
      </w:pPr>
      <w:r w:rsidRPr="00CE661A">
        <w:rPr>
          <w:rFonts w:eastAsia="Times New Roman"/>
          <w:b/>
          <w:lang w:eastAsia="en-US"/>
        </w:rPr>
        <w:t>Georgia Power Company’s</w:t>
      </w:r>
      <w:r>
        <w:tab/>
      </w:r>
      <w:r>
        <w:tab/>
      </w:r>
      <w:r>
        <w:tab/>
      </w:r>
      <w:r w:rsidRPr="00CE661A">
        <w:rPr>
          <w:rFonts w:eastAsia="Times New Roman"/>
          <w:b/>
          <w:lang w:eastAsia="en-US"/>
        </w:rPr>
        <w:t>)</w:t>
      </w:r>
    </w:p>
    <w:p w14:paraId="53EB0A78" w14:textId="0B6B4340" w:rsidR="00E17FC1" w:rsidRPr="00CE661A" w:rsidRDefault="00774707" w:rsidP="00654551">
      <w:pPr>
        <w:rPr>
          <w:rFonts w:eastAsia="Times New Roman"/>
          <w:b/>
          <w:lang w:eastAsia="en-US"/>
        </w:rPr>
      </w:pPr>
      <w:r w:rsidRPr="00CE661A">
        <w:rPr>
          <w:rFonts w:eastAsia="Times New Roman"/>
          <w:b/>
          <w:lang w:eastAsia="en-US"/>
        </w:rPr>
        <w:t>20</w:t>
      </w:r>
      <w:r>
        <w:rPr>
          <w:rFonts w:eastAsia="Times New Roman"/>
          <w:b/>
          <w:lang w:eastAsia="en-US"/>
        </w:rPr>
        <w:t>2</w:t>
      </w:r>
      <w:r w:rsidR="00500EE4">
        <w:rPr>
          <w:rFonts w:eastAsia="Times New Roman"/>
          <w:b/>
          <w:lang w:eastAsia="en-US"/>
        </w:rPr>
        <w:t>5</w:t>
      </w:r>
      <w:r w:rsidRPr="00CE661A">
        <w:rPr>
          <w:rFonts w:eastAsia="Times New Roman"/>
          <w:b/>
          <w:lang w:eastAsia="en-US"/>
        </w:rPr>
        <w:t xml:space="preserve"> Integrated Resource Plan</w:t>
      </w:r>
      <w:r w:rsidRPr="00CE661A">
        <w:rPr>
          <w:rFonts w:eastAsia="Times New Roman"/>
          <w:b/>
          <w:lang w:eastAsia="en-US"/>
        </w:rPr>
        <w:tab/>
      </w:r>
      <w:r w:rsidRPr="00CE661A">
        <w:rPr>
          <w:rFonts w:eastAsia="Times New Roman"/>
          <w:b/>
          <w:lang w:eastAsia="en-US"/>
        </w:rPr>
        <w:tab/>
        <w:t>)</w:t>
      </w:r>
      <w:r>
        <w:rPr>
          <w:rFonts w:eastAsia="Times New Roman"/>
          <w:b/>
          <w:lang w:eastAsia="en-US"/>
        </w:rPr>
        <w:tab/>
      </w:r>
      <w:r>
        <w:rPr>
          <w:rFonts w:eastAsia="Times New Roman"/>
          <w:b/>
          <w:lang w:eastAsia="en-US"/>
        </w:rPr>
        <w:tab/>
        <w:t xml:space="preserve">Docket No. </w:t>
      </w:r>
      <w:r w:rsidR="00500EE4">
        <w:rPr>
          <w:rFonts w:eastAsia="Times New Roman"/>
          <w:b/>
          <w:lang w:eastAsia="en-US"/>
        </w:rPr>
        <w:t>56002</w:t>
      </w:r>
    </w:p>
    <w:p w14:paraId="7AFD8BF6" w14:textId="77777777" w:rsidR="00E17FC1" w:rsidRPr="00CE661A" w:rsidRDefault="00E17FC1" w:rsidP="00654551">
      <w:pPr>
        <w:rPr>
          <w:rFonts w:eastAsia="Times New Roman"/>
          <w:lang w:eastAsia="en-US"/>
        </w:rPr>
      </w:pPr>
    </w:p>
    <w:p w14:paraId="6BEF4B8F" w14:textId="77777777" w:rsidR="00E17FC1" w:rsidRPr="00CE661A" w:rsidRDefault="00E17FC1" w:rsidP="00654551">
      <w:pPr>
        <w:rPr>
          <w:rFonts w:eastAsia="Times New Roman"/>
          <w:b/>
          <w:lang w:eastAsia="en-US"/>
        </w:rPr>
      </w:pPr>
    </w:p>
    <w:p w14:paraId="56329C11" w14:textId="77777777" w:rsidR="00E17FC1" w:rsidRPr="00CE661A" w:rsidRDefault="00774707" w:rsidP="00654551">
      <w:pPr>
        <w:rPr>
          <w:rFonts w:eastAsia="Times New Roman"/>
          <w:b/>
          <w:lang w:eastAsia="en-US"/>
        </w:rPr>
      </w:pPr>
      <w:r w:rsidRPr="00CE661A">
        <w:rPr>
          <w:rFonts w:eastAsia="Times New Roman"/>
          <w:b/>
          <w:lang w:eastAsia="en-US"/>
        </w:rPr>
        <w:t>Georgia Power Company’s</w:t>
      </w:r>
      <w:r w:rsidRPr="00CE661A">
        <w:rPr>
          <w:rFonts w:eastAsia="Times New Roman"/>
          <w:b/>
          <w:lang w:eastAsia="en-US"/>
        </w:rPr>
        <w:tab/>
      </w:r>
      <w:r w:rsidRPr="00CE661A">
        <w:rPr>
          <w:rFonts w:eastAsia="Times New Roman"/>
          <w:b/>
          <w:lang w:eastAsia="en-US"/>
        </w:rPr>
        <w:tab/>
      </w:r>
      <w:r w:rsidRPr="00CE661A">
        <w:rPr>
          <w:rFonts w:eastAsia="Times New Roman"/>
          <w:b/>
          <w:lang w:eastAsia="en-US"/>
        </w:rPr>
        <w:tab/>
        <w:t>)</w:t>
      </w:r>
    </w:p>
    <w:p w14:paraId="6E9A2066" w14:textId="7EF8A904" w:rsidR="00E17FC1" w:rsidRPr="00CE661A" w:rsidRDefault="00774707" w:rsidP="00654551">
      <w:pPr>
        <w:rPr>
          <w:rFonts w:eastAsia="Times New Roman"/>
          <w:b/>
          <w:lang w:eastAsia="en-US"/>
        </w:rPr>
      </w:pPr>
      <w:r>
        <w:rPr>
          <w:rFonts w:eastAsia="Times New Roman"/>
          <w:b/>
          <w:lang w:eastAsia="en-US"/>
        </w:rPr>
        <w:t>202</w:t>
      </w:r>
      <w:r w:rsidR="00500EE4">
        <w:rPr>
          <w:rFonts w:eastAsia="Times New Roman"/>
          <w:b/>
          <w:lang w:eastAsia="en-US"/>
        </w:rPr>
        <w:t>5</w:t>
      </w:r>
      <w:r>
        <w:rPr>
          <w:rFonts w:eastAsia="Times New Roman"/>
          <w:b/>
          <w:lang w:eastAsia="en-US"/>
        </w:rPr>
        <w:t xml:space="preserve"> </w:t>
      </w:r>
      <w:r w:rsidRPr="00CE661A">
        <w:rPr>
          <w:rFonts w:eastAsia="Times New Roman"/>
          <w:b/>
          <w:lang w:eastAsia="en-US"/>
        </w:rPr>
        <w:t>Application for the Certification,</w:t>
      </w:r>
      <w:r w:rsidRPr="00CE661A">
        <w:rPr>
          <w:rFonts w:eastAsia="Times New Roman"/>
          <w:b/>
          <w:lang w:eastAsia="en-US"/>
        </w:rPr>
        <w:tab/>
        <w:t>)</w:t>
      </w:r>
      <w:r w:rsidRPr="00CE661A">
        <w:rPr>
          <w:rFonts w:eastAsia="Times New Roman"/>
          <w:b/>
          <w:lang w:eastAsia="en-US"/>
        </w:rPr>
        <w:tab/>
      </w:r>
      <w:r>
        <w:rPr>
          <w:rFonts w:eastAsia="Times New Roman"/>
          <w:b/>
          <w:lang w:eastAsia="en-US"/>
        </w:rPr>
        <w:tab/>
      </w:r>
      <w:r w:rsidRPr="00CE661A">
        <w:rPr>
          <w:rFonts w:eastAsia="Times New Roman"/>
          <w:b/>
          <w:lang w:eastAsia="en-US"/>
        </w:rPr>
        <w:t xml:space="preserve">Docket No. </w:t>
      </w:r>
      <w:r w:rsidR="00500EE4">
        <w:rPr>
          <w:rFonts w:eastAsia="Times New Roman"/>
          <w:b/>
          <w:lang w:eastAsia="en-US"/>
        </w:rPr>
        <w:t>56003</w:t>
      </w:r>
    </w:p>
    <w:p w14:paraId="29D9DC4C" w14:textId="77777777" w:rsidR="00E17FC1" w:rsidRPr="00CE661A" w:rsidRDefault="00774707" w:rsidP="00654551">
      <w:pPr>
        <w:rPr>
          <w:rFonts w:eastAsia="Times New Roman"/>
          <w:b/>
          <w:lang w:eastAsia="en-US"/>
        </w:rPr>
      </w:pPr>
      <w:r w:rsidRPr="00CE661A">
        <w:rPr>
          <w:rFonts w:eastAsia="Times New Roman"/>
          <w:b/>
          <w:lang w:eastAsia="en-US"/>
        </w:rPr>
        <w:t>Decertification</w:t>
      </w:r>
      <w:r>
        <w:rPr>
          <w:rFonts w:eastAsia="Times New Roman"/>
          <w:b/>
          <w:lang w:eastAsia="en-US"/>
        </w:rPr>
        <w:t>,</w:t>
      </w:r>
      <w:r w:rsidRPr="00CE661A">
        <w:rPr>
          <w:rFonts w:eastAsia="Times New Roman"/>
          <w:b/>
          <w:lang w:eastAsia="en-US"/>
        </w:rPr>
        <w:t xml:space="preserve"> and Amended</w:t>
      </w:r>
      <w:r w:rsidRPr="00CE661A">
        <w:rPr>
          <w:rFonts w:eastAsia="Times New Roman"/>
          <w:b/>
          <w:lang w:eastAsia="en-US"/>
        </w:rPr>
        <w:tab/>
      </w:r>
      <w:r w:rsidRPr="00CE661A">
        <w:rPr>
          <w:rFonts w:eastAsia="Times New Roman"/>
          <w:b/>
          <w:lang w:eastAsia="en-US"/>
        </w:rPr>
        <w:tab/>
        <w:t>)</w:t>
      </w:r>
    </w:p>
    <w:p w14:paraId="25E5112C" w14:textId="77777777" w:rsidR="00E17FC1" w:rsidRPr="00CE661A" w:rsidRDefault="00774707" w:rsidP="00654551">
      <w:pPr>
        <w:rPr>
          <w:rFonts w:eastAsia="Times New Roman"/>
          <w:b/>
          <w:lang w:eastAsia="en-US"/>
        </w:rPr>
      </w:pPr>
      <w:r w:rsidRPr="00CE661A">
        <w:rPr>
          <w:rFonts w:eastAsia="Times New Roman"/>
          <w:b/>
          <w:lang w:eastAsia="en-US"/>
        </w:rPr>
        <w:t>Demand Side Management Plan</w:t>
      </w:r>
      <w:r w:rsidRPr="00CE661A">
        <w:rPr>
          <w:rFonts w:eastAsia="Times New Roman"/>
          <w:b/>
          <w:lang w:eastAsia="en-US"/>
        </w:rPr>
        <w:tab/>
      </w:r>
      <w:r w:rsidRPr="00CE661A">
        <w:rPr>
          <w:rFonts w:eastAsia="Times New Roman"/>
          <w:b/>
          <w:lang w:eastAsia="en-US"/>
        </w:rPr>
        <w:tab/>
        <w:t>)</w:t>
      </w:r>
    </w:p>
    <w:p w14:paraId="5FD09C59" w14:textId="77777777" w:rsidR="00E17FC1" w:rsidRPr="00CE661A" w:rsidRDefault="00E17FC1" w:rsidP="00654551">
      <w:pPr>
        <w:rPr>
          <w:rFonts w:eastAsia="Times New Roman"/>
          <w:lang w:eastAsia="en-US"/>
        </w:rPr>
      </w:pPr>
    </w:p>
    <w:p w14:paraId="610AFA97" w14:textId="77777777" w:rsidR="00E17FC1" w:rsidRPr="00CE661A" w:rsidRDefault="00E17FC1" w:rsidP="00654551">
      <w:pPr>
        <w:spacing w:line="360" w:lineRule="auto"/>
        <w:rPr>
          <w:rFonts w:eastAsia="Times New Roman"/>
          <w:lang w:eastAsia="en-US"/>
        </w:rPr>
      </w:pPr>
    </w:p>
    <w:p w14:paraId="7D3C6126" w14:textId="77777777" w:rsidR="00E17FC1" w:rsidRPr="00282F7E" w:rsidRDefault="00774707" w:rsidP="00654551">
      <w:pPr>
        <w:tabs>
          <w:tab w:val="left" w:pos="2880"/>
        </w:tabs>
        <w:spacing w:after="240"/>
        <w:jc w:val="center"/>
        <w:rPr>
          <w:u w:val="single"/>
        </w:rPr>
      </w:pPr>
      <w:r>
        <w:t>___________________________</w:t>
      </w:r>
    </w:p>
    <w:p w14:paraId="1067D708" w14:textId="77777777" w:rsidR="00E17FC1" w:rsidRPr="00282F7E" w:rsidRDefault="00774707" w:rsidP="00654551">
      <w:pPr>
        <w:jc w:val="center"/>
        <w:rPr>
          <w:b/>
        </w:rPr>
      </w:pPr>
      <w:r>
        <w:rPr>
          <w:b/>
        </w:rPr>
        <w:t xml:space="preserve">POST HEARING </w:t>
      </w:r>
      <w:r w:rsidRPr="00282F7E">
        <w:rPr>
          <w:b/>
        </w:rPr>
        <w:t>BRIEF OF</w:t>
      </w:r>
    </w:p>
    <w:p w14:paraId="7AB11ADB" w14:textId="77777777" w:rsidR="00E17FC1" w:rsidRPr="00282F7E" w:rsidRDefault="00774707" w:rsidP="00654551">
      <w:pPr>
        <w:jc w:val="center"/>
        <w:rPr>
          <w:b/>
        </w:rPr>
      </w:pPr>
      <w:r w:rsidRPr="00282F7E">
        <w:rPr>
          <w:b/>
        </w:rPr>
        <w:t>GEORGIA POWER COMPANY</w:t>
      </w:r>
    </w:p>
    <w:p w14:paraId="7760324D" w14:textId="77777777" w:rsidR="00E17FC1" w:rsidRPr="003649D5" w:rsidRDefault="00774707" w:rsidP="00654551">
      <w:pPr>
        <w:tabs>
          <w:tab w:val="left" w:pos="0"/>
          <w:tab w:val="left" w:pos="6480"/>
        </w:tabs>
        <w:spacing w:after="480"/>
        <w:jc w:val="center"/>
      </w:pPr>
      <w:r>
        <w:t>___________________________</w:t>
      </w:r>
    </w:p>
    <w:p w14:paraId="40769FCB" w14:textId="77777777" w:rsidR="00E17FC1" w:rsidRPr="00282F7E" w:rsidRDefault="00E17FC1" w:rsidP="00654551">
      <w:pPr>
        <w:tabs>
          <w:tab w:val="left" w:pos="5236"/>
        </w:tabs>
        <w:jc w:val="center"/>
      </w:pPr>
    </w:p>
    <w:p w14:paraId="21DD1746" w14:textId="77777777" w:rsidR="00E17FC1" w:rsidRPr="00282F7E" w:rsidRDefault="00E17FC1" w:rsidP="00654551">
      <w:pPr>
        <w:spacing w:after="240"/>
        <w:ind w:left="7200"/>
      </w:pPr>
    </w:p>
    <w:p w14:paraId="39D29AD1" w14:textId="4F555ECF" w:rsidR="00E17FC1" w:rsidRDefault="00774707" w:rsidP="00654551">
      <w:pPr>
        <w:jc w:val="center"/>
        <w:rPr>
          <w:b/>
        </w:rPr>
      </w:pPr>
      <w:r>
        <w:rPr>
          <w:b/>
        </w:rPr>
        <w:t xml:space="preserve">July </w:t>
      </w:r>
      <w:r w:rsidR="00500EE4">
        <w:rPr>
          <w:b/>
        </w:rPr>
        <w:t>3</w:t>
      </w:r>
      <w:r>
        <w:rPr>
          <w:b/>
        </w:rPr>
        <w:t>, 202</w:t>
      </w:r>
      <w:r w:rsidR="00500EE4">
        <w:rPr>
          <w:b/>
        </w:rPr>
        <w:t>5</w:t>
      </w:r>
    </w:p>
    <w:p w14:paraId="5F8A1B37" w14:textId="77777777" w:rsidR="00E17FC1" w:rsidRDefault="00E17FC1" w:rsidP="00654551">
      <w:pPr>
        <w:jc w:val="center"/>
        <w:rPr>
          <w:b/>
        </w:rPr>
      </w:pPr>
    </w:p>
    <w:p w14:paraId="5042FE45" w14:textId="77777777" w:rsidR="00E17FC1" w:rsidRDefault="00E17FC1" w:rsidP="00654551">
      <w:pPr>
        <w:jc w:val="center"/>
        <w:rPr>
          <w:b/>
        </w:rPr>
      </w:pPr>
    </w:p>
    <w:p w14:paraId="35218F7C" w14:textId="77777777" w:rsidR="00E17FC1" w:rsidRDefault="00E17FC1" w:rsidP="00654551">
      <w:pPr>
        <w:jc w:val="center"/>
        <w:rPr>
          <w:b/>
        </w:rPr>
      </w:pPr>
    </w:p>
    <w:p w14:paraId="638A4988" w14:textId="77777777" w:rsidR="00E17FC1" w:rsidRDefault="00E17FC1" w:rsidP="00654551">
      <w:pPr>
        <w:jc w:val="center"/>
        <w:rPr>
          <w:b/>
        </w:rPr>
      </w:pPr>
    </w:p>
    <w:p w14:paraId="4B33DD2B" w14:textId="77777777" w:rsidR="00E17FC1" w:rsidRDefault="00E17FC1" w:rsidP="00654551">
      <w:pPr>
        <w:jc w:val="center"/>
        <w:rPr>
          <w:b/>
        </w:rPr>
      </w:pPr>
    </w:p>
    <w:p w14:paraId="1FB890A4" w14:textId="77777777" w:rsidR="00E17FC1" w:rsidRDefault="00E17FC1" w:rsidP="00654551">
      <w:pPr>
        <w:jc w:val="center"/>
        <w:rPr>
          <w:b/>
        </w:rPr>
      </w:pPr>
    </w:p>
    <w:p w14:paraId="0691AB23" w14:textId="77777777" w:rsidR="00E17FC1" w:rsidRDefault="00E17FC1" w:rsidP="00654551">
      <w:pPr>
        <w:jc w:val="center"/>
        <w:rPr>
          <w:b/>
        </w:rPr>
      </w:pPr>
    </w:p>
    <w:p w14:paraId="1D5F231A" w14:textId="77777777" w:rsidR="00E17FC1" w:rsidRDefault="00E17FC1" w:rsidP="00654551">
      <w:pPr>
        <w:jc w:val="center"/>
        <w:rPr>
          <w:b/>
        </w:rPr>
        <w:sectPr w:rsidR="00E17FC1" w:rsidSect="006545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titlePg/>
          <w:docGrid w:linePitch="360"/>
        </w:sectPr>
      </w:pPr>
    </w:p>
    <w:sdt>
      <w:sdtPr>
        <w:rPr>
          <w:rFonts w:eastAsia="SimSun" w:cs="Times New Roman"/>
          <w:b w:val="0"/>
          <w:szCs w:val="24"/>
          <w:lang w:eastAsia="zh-CN"/>
        </w:rPr>
        <w:id w:val="-1685359264"/>
        <w:docPartObj>
          <w:docPartGallery w:val="Table of Contents"/>
          <w:docPartUnique/>
        </w:docPartObj>
      </w:sdtPr>
      <w:sdtEndPr/>
      <w:sdtContent>
        <w:p w14:paraId="7236B1FD" w14:textId="43C0D12D" w:rsidR="00B71B62" w:rsidRDefault="00B71B62" w:rsidP="001F45B1">
          <w:pPr>
            <w:pStyle w:val="TOCHeading"/>
            <w:numPr>
              <w:ilvl w:val="0"/>
              <w:numId w:val="0"/>
            </w:numPr>
            <w:ind w:left="360" w:hanging="360"/>
          </w:pPr>
          <w:r>
            <w:t>Table of Contents</w:t>
          </w:r>
        </w:p>
        <w:p w14:paraId="35A18409" w14:textId="0E224544" w:rsidR="00516CC4" w:rsidRDefault="00B71B62" w:rsidP="00516CC4">
          <w:pPr>
            <w:pStyle w:val="TOC1"/>
            <w:tabs>
              <w:tab w:val="clear" w:pos="9072"/>
              <w:tab w:val="left" w:leader="dot" w:pos="9090"/>
            </w:tabs>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hyperlink w:anchor="_Toc202446754" w:history="1">
            <w:r w:rsidR="00516CC4" w:rsidRPr="0097449C">
              <w:rPr>
                <w:rStyle w:val="Hyperlink"/>
                <w:noProof/>
              </w:rPr>
              <w:t>I.</w:t>
            </w:r>
            <w:r w:rsidR="00516CC4">
              <w:rPr>
                <w:rFonts w:asciiTheme="minorHAnsi" w:eastAsiaTheme="minorEastAsia" w:hAnsiTheme="minorHAnsi" w:cstheme="minorBidi"/>
                <w:b w:val="0"/>
                <w:noProof/>
                <w:kern w:val="2"/>
                <w14:ligatures w14:val="standardContextual"/>
              </w:rPr>
              <w:tab/>
            </w:r>
            <w:r w:rsidR="00516CC4" w:rsidRPr="0097449C">
              <w:rPr>
                <w:rStyle w:val="Hyperlink"/>
                <w:noProof/>
              </w:rPr>
              <w:t>INTRODUCTION</w:t>
            </w:r>
            <w:r w:rsidR="00516CC4">
              <w:rPr>
                <w:noProof/>
                <w:webHidden/>
              </w:rPr>
              <w:tab/>
            </w:r>
            <w:r w:rsidR="00516CC4">
              <w:rPr>
                <w:noProof/>
                <w:webHidden/>
              </w:rPr>
              <w:fldChar w:fldCharType="begin"/>
            </w:r>
            <w:r w:rsidR="00516CC4">
              <w:rPr>
                <w:noProof/>
                <w:webHidden/>
              </w:rPr>
              <w:instrText xml:space="preserve"> PAGEREF _Toc202446754 \h </w:instrText>
            </w:r>
            <w:r w:rsidR="00516CC4">
              <w:rPr>
                <w:noProof/>
                <w:webHidden/>
              </w:rPr>
            </w:r>
            <w:r w:rsidR="00516CC4">
              <w:rPr>
                <w:noProof/>
                <w:webHidden/>
              </w:rPr>
              <w:fldChar w:fldCharType="separate"/>
            </w:r>
            <w:r w:rsidR="00F137AB">
              <w:rPr>
                <w:noProof/>
                <w:webHidden/>
              </w:rPr>
              <w:t>1</w:t>
            </w:r>
            <w:r w:rsidR="00516CC4">
              <w:rPr>
                <w:noProof/>
                <w:webHidden/>
              </w:rPr>
              <w:fldChar w:fldCharType="end"/>
            </w:r>
          </w:hyperlink>
        </w:p>
        <w:p w14:paraId="10530B50" w14:textId="55258113" w:rsidR="00516CC4" w:rsidRDefault="00516CC4" w:rsidP="00516CC4">
          <w:pPr>
            <w:pStyle w:val="TOC1"/>
            <w:tabs>
              <w:tab w:val="clear" w:pos="9072"/>
              <w:tab w:val="left" w:leader="dot" w:pos="9090"/>
            </w:tabs>
            <w:rPr>
              <w:rFonts w:asciiTheme="minorHAnsi" w:eastAsiaTheme="minorEastAsia" w:hAnsiTheme="minorHAnsi" w:cstheme="minorBidi"/>
              <w:b w:val="0"/>
              <w:noProof/>
              <w:kern w:val="2"/>
              <w14:ligatures w14:val="standardContextual"/>
            </w:rPr>
          </w:pPr>
          <w:hyperlink w:anchor="_Toc202446755" w:history="1">
            <w:r w:rsidRPr="0097449C">
              <w:rPr>
                <w:rStyle w:val="Hyperlink"/>
                <w:noProof/>
              </w:rPr>
              <w:t>II.</w:t>
            </w:r>
            <w:r>
              <w:rPr>
                <w:rFonts w:asciiTheme="minorHAnsi" w:eastAsiaTheme="minorEastAsia" w:hAnsiTheme="minorHAnsi" w:cstheme="minorBidi"/>
                <w:b w:val="0"/>
                <w:noProof/>
                <w:kern w:val="2"/>
                <w14:ligatures w14:val="standardContextual"/>
              </w:rPr>
              <w:tab/>
            </w:r>
            <w:r w:rsidRPr="0097449C">
              <w:rPr>
                <w:rStyle w:val="Hyperlink"/>
                <w:noProof/>
              </w:rPr>
              <w:t>GEORGIA POWER 2025 IRP SUMMARY</w:t>
            </w:r>
            <w:r>
              <w:rPr>
                <w:noProof/>
                <w:webHidden/>
              </w:rPr>
              <w:tab/>
            </w:r>
            <w:r>
              <w:rPr>
                <w:noProof/>
                <w:webHidden/>
              </w:rPr>
              <w:fldChar w:fldCharType="begin"/>
            </w:r>
            <w:r>
              <w:rPr>
                <w:noProof/>
                <w:webHidden/>
              </w:rPr>
              <w:instrText xml:space="preserve"> PAGEREF _Toc202446755 \h </w:instrText>
            </w:r>
            <w:r>
              <w:rPr>
                <w:noProof/>
                <w:webHidden/>
              </w:rPr>
            </w:r>
            <w:r>
              <w:rPr>
                <w:noProof/>
                <w:webHidden/>
              </w:rPr>
              <w:fldChar w:fldCharType="separate"/>
            </w:r>
            <w:r w:rsidR="00F137AB">
              <w:rPr>
                <w:noProof/>
                <w:webHidden/>
              </w:rPr>
              <w:t>2</w:t>
            </w:r>
            <w:r>
              <w:rPr>
                <w:noProof/>
                <w:webHidden/>
              </w:rPr>
              <w:fldChar w:fldCharType="end"/>
            </w:r>
          </w:hyperlink>
        </w:p>
        <w:p w14:paraId="5CE5BED2" w14:textId="1192F42F" w:rsidR="00516CC4" w:rsidRDefault="00516CC4" w:rsidP="00516CC4">
          <w:pPr>
            <w:pStyle w:val="TOC1"/>
            <w:tabs>
              <w:tab w:val="clear" w:pos="9072"/>
              <w:tab w:val="left" w:leader="dot" w:pos="9090"/>
            </w:tabs>
            <w:rPr>
              <w:rFonts w:asciiTheme="minorHAnsi" w:eastAsiaTheme="minorEastAsia" w:hAnsiTheme="minorHAnsi" w:cstheme="minorBidi"/>
              <w:b w:val="0"/>
              <w:noProof/>
              <w:kern w:val="2"/>
              <w14:ligatures w14:val="standardContextual"/>
            </w:rPr>
          </w:pPr>
          <w:hyperlink w:anchor="_Toc202446756" w:history="1">
            <w:r w:rsidRPr="0097449C">
              <w:rPr>
                <w:rStyle w:val="Hyperlink"/>
                <w:noProof/>
              </w:rPr>
              <w:t>III.</w:t>
            </w:r>
            <w:r>
              <w:rPr>
                <w:rFonts w:asciiTheme="minorHAnsi" w:eastAsiaTheme="minorEastAsia" w:hAnsiTheme="minorHAnsi" w:cstheme="minorBidi"/>
                <w:b w:val="0"/>
                <w:noProof/>
                <w:kern w:val="2"/>
                <w14:ligatures w14:val="standardContextual"/>
              </w:rPr>
              <w:tab/>
            </w:r>
            <w:r w:rsidRPr="0097449C">
              <w:rPr>
                <w:rStyle w:val="Hyperlink"/>
                <w:noProof/>
              </w:rPr>
              <w:t>PROCEDURAL HISTORY AND BACKGROUND</w:t>
            </w:r>
            <w:r>
              <w:rPr>
                <w:noProof/>
                <w:webHidden/>
              </w:rPr>
              <w:tab/>
            </w:r>
            <w:r>
              <w:rPr>
                <w:noProof/>
                <w:webHidden/>
              </w:rPr>
              <w:fldChar w:fldCharType="begin"/>
            </w:r>
            <w:r>
              <w:rPr>
                <w:noProof/>
                <w:webHidden/>
              </w:rPr>
              <w:instrText xml:space="preserve"> PAGEREF _Toc202446756 \h </w:instrText>
            </w:r>
            <w:r>
              <w:rPr>
                <w:noProof/>
                <w:webHidden/>
              </w:rPr>
            </w:r>
            <w:r>
              <w:rPr>
                <w:noProof/>
                <w:webHidden/>
              </w:rPr>
              <w:fldChar w:fldCharType="separate"/>
            </w:r>
            <w:r w:rsidR="00F137AB">
              <w:rPr>
                <w:noProof/>
                <w:webHidden/>
              </w:rPr>
              <w:t>3</w:t>
            </w:r>
            <w:r>
              <w:rPr>
                <w:noProof/>
                <w:webHidden/>
              </w:rPr>
              <w:fldChar w:fldCharType="end"/>
            </w:r>
          </w:hyperlink>
        </w:p>
        <w:p w14:paraId="74D6786B" w14:textId="38F00B66" w:rsidR="00516CC4" w:rsidRDefault="00516CC4" w:rsidP="00516CC4">
          <w:pPr>
            <w:pStyle w:val="TOC1"/>
            <w:tabs>
              <w:tab w:val="clear" w:pos="9072"/>
              <w:tab w:val="left" w:leader="dot" w:pos="9090"/>
            </w:tabs>
            <w:rPr>
              <w:rFonts w:asciiTheme="minorHAnsi" w:eastAsiaTheme="minorEastAsia" w:hAnsiTheme="minorHAnsi" w:cstheme="minorBidi"/>
              <w:b w:val="0"/>
              <w:noProof/>
              <w:kern w:val="2"/>
              <w14:ligatures w14:val="standardContextual"/>
            </w:rPr>
          </w:pPr>
          <w:hyperlink w:anchor="_Toc202446757" w:history="1">
            <w:r w:rsidRPr="0097449C">
              <w:rPr>
                <w:rStyle w:val="Hyperlink"/>
                <w:noProof/>
              </w:rPr>
              <w:t>IV.</w:t>
            </w:r>
            <w:r>
              <w:rPr>
                <w:rFonts w:asciiTheme="minorHAnsi" w:eastAsiaTheme="minorEastAsia" w:hAnsiTheme="minorHAnsi" w:cstheme="minorBidi"/>
                <w:b w:val="0"/>
                <w:noProof/>
                <w:kern w:val="2"/>
                <w14:ligatures w14:val="standardContextual"/>
              </w:rPr>
              <w:tab/>
            </w:r>
            <w:r w:rsidRPr="0097449C">
              <w:rPr>
                <w:rStyle w:val="Hyperlink"/>
                <w:noProof/>
              </w:rPr>
              <w:t>ARGUMENT</w:t>
            </w:r>
            <w:r>
              <w:rPr>
                <w:noProof/>
                <w:webHidden/>
              </w:rPr>
              <w:tab/>
            </w:r>
            <w:r>
              <w:rPr>
                <w:noProof/>
                <w:webHidden/>
              </w:rPr>
              <w:fldChar w:fldCharType="begin"/>
            </w:r>
            <w:r>
              <w:rPr>
                <w:noProof/>
                <w:webHidden/>
              </w:rPr>
              <w:instrText xml:space="preserve"> PAGEREF _Toc202446757 \h </w:instrText>
            </w:r>
            <w:r>
              <w:rPr>
                <w:noProof/>
                <w:webHidden/>
              </w:rPr>
            </w:r>
            <w:r>
              <w:rPr>
                <w:noProof/>
                <w:webHidden/>
              </w:rPr>
              <w:fldChar w:fldCharType="separate"/>
            </w:r>
            <w:r w:rsidR="00F137AB">
              <w:rPr>
                <w:noProof/>
                <w:webHidden/>
              </w:rPr>
              <w:t>5</w:t>
            </w:r>
            <w:r>
              <w:rPr>
                <w:noProof/>
                <w:webHidden/>
              </w:rPr>
              <w:fldChar w:fldCharType="end"/>
            </w:r>
          </w:hyperlink>
        </w:p>
        <w:p w14:paraId="62D6A3EB" w14:textId="43FF74DF" w:rsidR="00516CC4" w:rsidRDefault="00516CC4" w:rsidP="00516CC4">
          <w:pPr>
            <w:pStyle w:val="TOC2"/>
            <w:tabs>
              <w:tab w:val="left" w:leader="dot" w:pos="9090"/>
            </w:tabs>
            <w:rPr>
              <w:rFonts w:asciiTheme="minorHAnsi" w:eastAsiaTheme="minorEastAsia" w:hAnsiTheme="minorHAnsi" w:cstheme="minorBidi"/>
              <w:noProof/>
              <w:kern w:val="2"/>
              <w:lang w:eastAsia="en-US"/>
              <w14:ligatures w14:val="standardContextual"/>
            </w:rPr>
          </w:pPr>
          <w:hyperlink w:anchor="_Toc202446758" w:history="1">
            <w:r w:rsidRPr="0097449C">
              <w:rPr>
                <w:rStyle w:val="Hyperlink"/>
                <w:noProof/>
              </w:rPr>
              <w:t>A.</w:t>
            </w:r>
            <w:r>
              <w:rPr>
                <w:rFonts w:asciiTheme="minorHAnsi" w:eastAsiaTheme="minorEastAsia" w:hAnsiTheme="minorHAnsi" w:cstheme="minorBidi"/>
                <w:noProof/>
                <w:kern w:val="2"/>
                <w:lang w:eastAsia="en-US"/>
                <w14:ligatures w14:val="standardContextual"/>
              </w:rPr>
              <w:tab/>
            </w:r>
            <w:r w:rsidRPr="0097449C">
              <w:rPr>
                <w:rStyle w:val="Hyperlink"/>
                <w:bCs/>
                <w:noProof/>
              </w:rPr>
              <w:t xml:space="preserve">The </w:t>
            </w:r>
            <w:r w:rsidRPr="0097449C">
              <w:rPr>
                <w:rStyle w:val="Hyperlink"/>
                <w:noProof/>
              </w:rPr>
              <w:t>Commission Should Approve the Company’s Supply-Side Plan.</w:t>
            </w:r>
            <w:r>
              <w:rPr>
                <w:noProof/>
                <w:webHidden/>
              </w:rPr>
              <w:tab/>
            </w:r>
            <w:r>
              <w:rPr>
                <w:noProof/>
                <w:webHidden/>
              </w:rPr>
              <w:fldChar w:fldCharType="begin"/>
            </w:r>
            <w:r>
              <w:rPr>
                <w:noProof/>
                <w:webHidden/>
              </w:rPr>
              <w:instrText xml:space="preserve"> PAGEREF _Toc202446758 \h </w:instrText>
            </w:r>
            <w:r>
              <w:rPr>
                <w:noProof/>
                <w:webHidden/>
              </w:rPr>
            </w:r>
            <w:r>
              <w:rPr>
                <w:noProof/>
                <w:webHidden/>
              </w:rPr>
              <w:fldChar w:fldCharType="separate"/>
            </w:r>
            <w:r w:rsidR="00F137AB">
              <w:rPr>
                <w:noProof/>
                <w:webHidden/>
              </w:rPr>
              <w:t>6</w:t>
            </w:r>
            <w:r>
              <w:rPr>
                <w:noProof/>
                <w:webHidden/>
              </w:rPr>
              <w:fldChar w:fldCharType="end"/>
            </w:r>
          </w:hyperlink>
        </w:p>
        <w:p w14:paraId="5F5B62BC" w14:textId="607B4E2D"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59" w:history="1">
            <w:r w:rsidRPr="0097449C">
              <w:rPr>
                <w:rStyle w:val="Hyperlink"/>
                <w:noProof/>
              </w:rPr>
              <w:t>1.</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February 2025 Load and Energy Forecast as filed in Georgia Power’s Rebuttal Testimony.</w:t>
            </w:r>
            <w:r>
              <w:rPr>
                <w:noProof/>
                <w:webHidden/>
              </w:rPr>
              <w:tab/>
            </w:r>
            <w:r>
              <w:rPr>
                <w:noProof/>
                <w:webHidden/>
              </w:rPr>
              <w:fldChar w:fldCharType="begin"/>
            </w:r>
            <w:r>
              <w:rPr>
                <w:noProof/>
                <w:webHidden/>
              </w:rPr>
              <w:instrText xml:space="preserve"> PAGEREF _Toc202446759 \h </w:instrText>
            </w:r>
            <w:r>
              <w:rPr>
                <w:noProof/>
                <w:webHidden/>
              </w:rPr>
            </w:r>
            <w:r>
              <w:rPr>
                <w:noProof/>
                <w:webHidden/>
              </w:rPr>
              <w:fldChar w:fldCharType="separate"/>
            </w:r>
            <w:r w:rsidR="00F137AB">
              <w:rPr>
                <w:noProof/>
                <w:webHidden/>
              </w:rPr>
              <w:t>6</w:t>
            </w:r>
            <w:r>
              <w:rPr>
                <w:noProof/>
                <w:webHidden/>
              </w:rPr>
              <w:fldChar w:fldCharType="end"/>
            </w:r>
          </w:hyperlink>
        </w:p>
        <w:p w14:paraId="4FE7A382" w14:textId="59500942"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0" w:history="1">
            <w:r w:rsidRPr="0097449C">
              <w:rPr>
                <w:rStyle w:val="Hyperlink"/>
                <w:noProof/>
              </w:rPr>
              <w:t>2.</w:t>
            </w:r>
            <w:r>
              <w:rPr>
                <w:rFonts w:asciiTheme="minorHAnsi" w:eastAsiaTheme="minorEastAsia" w:hAnsiTheme="minorHAnsi" w:cstheme="minorBidi"/>
                <w:noProof/>
                <w:kern w:val="2"/>
                <w:lang w:eastAsia="en-US"/>
                <w14:ligatures w14:val="standardContextual"/>
              </w:rPr>
              <w:tab/>
            </w:r>
            <w:r w:rsidRPr="0097449C">
              <w:rPr>
                <w:rStyle w:val="Hyperlink"/>
                <w:noProof/>
              </w:rPr>
              <w:t>Georgia Power’s 26% Winter TRM and Proposed Summer TRM of 20% should be approved by the Commission, and PIA Staff and Intervenor recommendations to reduce the TRM should be rejected.</w:t>
            </w:r>
            <w:r>
              <w:rPr>
                <w:noProof/>
                <w:webHidden/>
              </w:rPr>
              <w:tab/>
            </w:r>
            <w:r>
              <w:rPr>
                <w:noProof/>
                <w:webHidden/>
              </w:rPr>
              <w:fldChar w:fldCharType="begin"/>
            </w:r>
            <w:r>
              <w:rPr>
                <w:noProof/>
                <w:webHidden/>
              </w:rPr>
              <w:instrText xml:space="preserve"> PAGEREF _Toc202446760 \h </w:instrText>
            </w:r>
            <w:r>
              <w:rPr>
                <w:noProof/>
                <w:webHidden/>
              </w:rPr>
            </w:r>
            <w:r>
              <w:rPr>
                <w:noProof/>
                <w:webHidden/>
              </w:rPr>
              <w:fldChar w:fldCharType="separate"/>
            </w:r>
            <w:r w:rsidR="00F137AB">
              <w:rPr>
                <w:noProof/>
                <w:webHidden/>
              </w:rPr>
              <w:t>11</w:t>
            </w:r>
            <w:r>
              <w:rPr>
                <w:noProof/>
                <w:webHidden/>
              </w:rPr>
              <w:fldChar w:fldCharType="end"/>
            </w:r>
          </w:hyperlink>
        </w:p>
        <w:p w14:paraId="04788A92" w14:textId="415D4D90"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1" w:history="1">
            <w:r w:rsidRPr="0097449C">
              <w:rPr>
                <w:rStyle w:val="Hyperlink"/>
                <w:noProof/>
              </w:rPr>
              <w:t>3.</w:t>
            </w:r>
            <w:r>
              <w:rPr>
                <w:rFonts w:asciiTheme="minorHAnsi" w:eastAsiaTheme="minorEastAsia" w:hAnsiTheme="minorHAnsi" w:cstheme="minorBidi"/>
                <w:noProof/>
                <w:kern w:val="2"/>
                <w:lang w:eastAsia="en-US"/>
                <w14:ligatures w14:val="standardContextual"/>
              </w:rPr>
              <w:tab/>
            </w:r>
            <w:r w:rsidRPr="0097449C">
              <w:rPr>
                <w:rStyle w:val="Hyperlink"/>
                <w:noProof/>
              </w:rPr>
              <w:t>The Company’s expansion planning modeling and Resource Mix Study are reasonable.</w:t>
            </w:r>
            <w:r>
              <w:rPr>
                <w:noProof/>
                <w:webHidden/>
              </w:rPr>
              <w:fldChar w:fldCharType="begin"/>
            </w:r>
            <w:r>
              <w:rPr>
                <w:noProof/>
                <w:webHidden/>
              </w:rPr>
              <w:instrText xml:space="preserve"> PAGEREF _Toc202446761 \h </w:instrText>
            </w:r>
            <w:r>
              <w:rPr>
                <w:noProof/>
                <w:webHidden/>
              </w:rPr>
            </w:r>
            <w:r>
              <w:rPr>
                <w:noProof/>
                <w:webHidden/>
              </w:rPr>
              <w:fldChar w:fldCharType="separate"/>
            </w:r>
            <w:r w:rsidR="00F137AB">
              <w:rPr>
                <w:noProof/>
                <w:webHidden/>
              </w:rPr>
              <w:t>13</w:t>
            </w:r>
            <w:r>
              <w:rPr>
                <w:noProof/>
                <w:webHidden/>
              </w:rPr>
              <w:fldChar w:fldCharType="end"/>
            </w:r>
          </w:hyperlink>
        </w:p>
        <w:p w14:paraId="1F68BC70" w14:textId="38202A91"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2" w:history="1">
            <w:r w:rsidRPr="0097449C">
              <w:rPr>
                <w:rStyle w:val="Hyperlink"/>
                <w:noProof/>
              </w:rPr>
              <w:t>4.</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natural gas and nuclear upgrades as proposed and scheduled as these resources support optimization of existing resources for the economic benefit of customers.</w:t>
            </w:r>
            <w:r>
              <w:rPr>
                <w:noProof/>
                <w:webHidden/>
              </w:rPr>
              <w:tab/>
            </w:r>
            <w:r>
              <w:rPr>
                <w:noProof/>
                <w:webHidden/>
              </w:rPr>
              <w:fldChar w:fldCharType="begin"/>
            </w:r>
            <w:r>
              <w:rPr>
                <w:noProof/>
                <w:webHidden/>
              </w:rPr>
              <w:instrText xml:space="preserve"> PAGEREF _Toc202446762 \h </w:instrText>
            </w:r>
            <w:r>
              <w:rPr>
                <w:noProof/>
                <w:webHidden/>
              </w:rPr>
            </w:r>
            <w:r>
              <w:rPr>
                <w:noProof/>
                <w:webHidden/>
              </w:rPr>
              <w:fldChar w:fldCharType="separate"/>
            </w:r>
            <w:r w:rsidR="00F137AB">
              <w:rPr>
                <w:noProof/>
                <w:webHidden/>
              </w:rPr>
              <w:t>18</w:t>
            </w:r>
            <w:r>
              <w:rPr>
                <w:noProof/>
                <w:webHidden/>
              </w:rPr>
              <w:fldChar w:fldCharType="end"/>
            </w:r>
          </w:hyperlink>
        </w:p>
        <w:p w14:paraId="1011CD69" w14:textId="3F1F154C"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3" w:history="1">
            <w:r w:rsidRPr="0097449C">
              <w:rPr>
                <w:rStyle w:val="Hyperlink"/>
                <w:noProof/>
              </w:rPr>
              <w:t>5.</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Georgia Power’s request to continue investment in its hydro modernization projects.</w:t>
            </w:r>
            <w:r>
              <w:rPr>
                <w:noProof/>
                <w:webHidden/>
              </w:rPr>
              <w:tab/>
            </w:r>
            <w:r>
              <w:rPr>
                <w:noProof/>
                <w:webHidden/>
              </w:rPr>
              <w:fldChar w:fldCharType="begin"/>
            </w:r>
            <w:r>
              <w:rPr>
                <w:noProof/>
                <w:webHidden/>
              </w:rPr>
              <w:instrText xml:space="preserve"> PAGEREF _Toc202446763 \h </w:instrText>
            </w:r>
            <w:r>
              <w:rPr>
                <w:noProof/>
                <w:webHidden/>
              </w:rPr>
            </w:r>
            <w:r>
              <w:rPr>
                <w:noProof/>
                <w:webHidden/>
              </w:rPr>
              <w:fldChar w:fldCharType="separate"/>
            </w:r>
            <w:r w:rsidR="00F137AB">
              <w:rPr>
                <w:noProof/>
                <w:webHidden/>
              </w:rPr>
              <w:t>20</w:t>
            </w:r>
            <w:r>
              <w:rPr>
                <w:noProof/>
                <w:webHidden/>
              </w:rPr>
              <w:fldChar w:fldCharType="end"/>
            </w:r>
          </w:hyperlink>
        </w:p>
        <w:p w14:paraId="1601FBE1" w14:textId="39332FD4"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4" w:history="1">
            <w:r w:rsidRPr="0097449C">
              <w:rPr>
                <w:rStyle w:val="Hyperlink"/>
                <w:noProof/>
              </w:rPr>
              <w:t>6.</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wholesale-to-retail offering from Plant Scherer Unit 3 without modification.</w:t>
            </w:r>
            <w:r>
              <w:rPr>
                <w:noProof/>
                <w:webHidden/>
              </w:rPr>
              <w:tab/>
            </w:r>
            <w:r>
              <w:rPr>
                <w:noProof/>
                <w:webHidden/>
              </w:rPr>
              <w:fldChar w:fldCharType="begin"/>
            </w:r>
            <w:r>
              <w:rPr>
                <w:noProof/>
                <w:webHidden/>
              </w:rPr>
              <w:instrText xml:space="preserve"> PAGEREF _Toc202446764 \h </w:instrText>
            </w:r>
            <w:r>
              <w:rPr>
                <w:noProof/>
                <w:webHidden/>
              </w:rPr>
            </w:r>
            <w:r>
              <w:rPr>
                <w:noProof/>
                <w:webHidden/>
              </w:rPr>
              <w:fldChar w:fldCharType="separate"/>
            </w:r>
            <w:r w:rsidR="00F137AB">
              <w:rPr>
                <w:noProof/>
                <w:webHidden/>
              </w:rPr>
              <w:t>22</w:t>
            </w:r>
            <w:r>
              <w:rPr>
                <w:noProof/>
                <w:webHidden/>
              </w:rPr>
              <w:fldChar w:fldCharType="end"/>
            </w:r>
          </w:hyperlink>
        </w:p>
        <w:p w14:paraId="6528AC32" w14:textId="5D9D3186"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5" w:history="1">
            <w:r w:rsidRPr="0097449C">
              <w:rPr>
                <w:rStyle w:val="Hyperlink"/>
                <w:noProof/>
              </w:rPr>
              <w:t>7.</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enhancements to the Utility Scale and distributed generation (“DG”) RFPs.</w:t>
            </w:r>
            <w:r>
              <w:rPr>
                <w:noProof/>
                <w:webHidden/>
              </w:rPr>
              <w:tab/>
            </w:r>
            <w:r>
              <w:rPr>
                <w:noProof/>
                <w:webHidden/>
              </w:rPr>
              <w:fldChar w:fldCharType="begin"/>
            </w:r>
            <w:r>
              <w:rPr>
                <w:noProof/>
                <w:webHidden/>
              </w:rPr>
              <w:instrText xml:space="preserve"> PAGEREF _Toc202446765 \h </w:instrText>
            </w:r>
            <w:r>
              <w:rPr>
                <w:noProof/>
                <w:webHidden/>
              </w:rPr>
            </w:r>
            <w:r>
              <w:rPr>
                <w:noProof/>
                <w:webHidden/>
              </w:rPr>
              <w:fldChar w:fldCharType="separate"/>
            </w:r>
            <w:r w:rsidR="00F137AB">
              <w:rPr>
                <w:noProof/>
                <w:webHidden/>
              </w:rPr>
              <w:t>23</w:t>
            </w:r>
            <w:r>
              <w:rPr>
                <w:noProof/>
                <w:webHidden/>
              </w:rPr>
              <w:fldChar w:fldCharType="end"/>
            </w:r>
          </w:hyperlink>
        </w:p>
        <w:p w14:paraId="6462E29D" w14:textId="765FAAD9"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6" w:history="1">
            <w:r w:rsidRPr="0097449C">
              <w:rPr>
                <w:rStyle w:val="Hyperlink"/>
                <w:noProof/>
              </w:rPr>
              <w:t>8.</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Customer-Sited Solar Plus Storage Pilot Program.</w:t>
            </w:r>
            <w:r>
              <w:rPr>
                <w:noProof/>
                <w:webHidden/>
              </w:rPr>
              <w:tab/>
            </w:r>
            <w:r>
              <w:rPr>
                <w:noProof/>
                <w:webHidden/>
              </w:rPr>
              <w:fldChar w:fldCharType="begin"/>
            </w:r>
            <w:r>
              <w:rPr>
                <w:noProof/>
                <w:webHidden/>
              </w:rPr>
              <w:instrText xml:space="preserve"> PAGEREF _Toc202446766 \h </w:instrText>
            </w:r>
            <w:r>
              <w:rPr>
                <w:noProof/>
                <w:webHidden/>
              </w:rPr>
            </w:r>
            <w:r>
              <w:rPr>
                <w:noProof/>
                <w:webHidden/>
              </w:rPr>
              <w:fldChar w:fldCharType="separate"/>
            </w:r>
            <w:r w:rsidR="00F137AB">
              <w:rPr>
                <w:noProof/>
                <w:webHidden/>
              </w:rPr>
              <w:t>25</w:t>
            </w:r>
            <w:r>
              <w:rPr>
                <w:noProof/>
                <w:webHidden/>
              </w:rPr>
              <w:fldChar w:fldCharType="end"/>
            </w:r>
          </w:hyperlink>
        </w:p>
        <w:p w14:paraId="409C82D1" w14:textId="21649381"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67" w:history="1">
            <w:r w:rsidRPr="0097449C">
              <w:rPr>
                <w:rStyle w:val="Hyperlink"/>
                <w:noProof/>
              </w:rPr>
              <w:t>9.</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modifications to the CARES Subscription Program.</w:t>
            </w:r>
            <w:r>
              <w:rPr>
                <w:noProof/>
                <w:webHidden/>
              </w:rPr>
              <w:tab/>
            </w:r>
            <w:r>
              <w:rPr>
                <w:noProof/>
                <w:webHidden/>
              </w:rPr>
              <w:fldChar w:fldCharType="begin"/>
            </w:r>
            <w:r>
              <w:rPr>
                <w:noProof/>
                <w:webHidden/>
              </w:rPr>
              <w:instrText xml:space="preserve"> PAGEREF _Toc202446767 \h </w:instrText>
            </w:r>
            <w:r>
              <w:rPr>
                <w:noProof/>
                <w:webHidden/>
              </w:rPr>
            </w:r>
            <w:r>
              <w:rPr>
                <w:noProof/>
                <w:webHidden/>
              </w:rPr>
              <w:fldChar w:fldCharType="separate"/>
            </w:r>
            <w:r w:rsidR="00F137AB">
              <w:rPr>
                <w:noProof/>
                <w:webHidden/>
              </w:rPr>
              <w:t>26</w:t>
            </w:r>
            <w:r>
              <w:rPr>
                <w:noProof/>
                <w:webHidden/>
              </w:rPr>
              <w:fldChar w:fldCharType="end"/>
            </w:r>
          </w:hyperlink>
        </w:p>
        <w:p w14:paraId="4F536756" w14:textId="6039A26F" w:rsidR="00516CC4" w:rsidRDefault="00516CC4" w:rsidP="00516CC4">
          <w:pPr>
            <w:pStyle w:val="TOC2"/>
            <w:tabs>
              <w:tab w:val="left" w:leader="dot" w:pos="9090"/>
            </w:tabs>
            <w:rPr>
              <w:rFonts w:asciiTheme="minorHAnsi" w:eastAsiaTheme="minorEastAsia" w:hAnsiTheme="minorHAnsi" w:cstheme="minorBidi"/>
              <w:noProof/>
              <w:kern w:val="2"/>
              <w:lang w:eastAsia="en-US"/>
              <w14:ligatures w14:val="standardContextual"/>
            </w:rPr>
          </w:pPr>
          <w:hyperlink w:anchor="_Toc202446768" w:history="1">
            <w:r w:rsidRPr="0097449C">
              <w:rPr>
                <w:rStyle w:val="Hyperlink"/>
                <w:noProof/>
              </w:rPr>
              <w:t>B.</w:t>
            </w:r>
            <w:r>
              <w:rPr>
                <w:rFonts w:asciiTheme="minorHAnsi" w:eastAsiaTheme="minorEastAsia" w:hAnsiTheme="minorHAnsi" w:cstheme="minorBidi"/>
                <w:noProof/>
                <w:kern w:val="2"/>
                <w:lang w:eastAsia="en-US"/>
                <w14:ligatures w14:val="standardContextual"/>
              </w:rPr>
              <w:tab/>
            </w:r>
            <w:r w:rsidRPr="0097449C">
              <w:rPr>
                <w:rStyle w:val="Hyperlink"/>
                <w:noProof/>
              </w:rPr>
              <w:t>The Transmission Plan Identified in the 2025 IRP Should be Approved as Proposed.</w:t>
            </w:r>
            <w:r>
              <w:rPr>
                <w:noProof/>
                <w:webHidden/>
              </w:rPr>
              <w:tab/>
            </w:r>
            <w:r>
              <w:rPr>
                <w:noProof/>
                <w:webHidden/>
              </w:rPr>
              <w:fldChar w:fldCharType="begin"/>
            </w:r>
            <w:r>
              <w:rPr>
                <w:noProof/>
                <w:webHidden/>
              </w:rPr>
              <w:instrText xml:space="preserve"> PAGEREF _Toc202446768 \h </w:instrText>
            </w:r>
            <w:r>
              <w:rPr>
                <w:noProof/>
                <w:webHidden/>
              </w:rPr>
            </w:r>
            <w:r>
              <w:rPr>
                <w:noProof/>
                <w:webHidden/>
              </w:rPr>
              <w:fldChar w:fldCharType="separate"/>
            </w:r>
            <w:r w:rsidR="00F137AB">
              <w:rPr>
                <w:noProof/>
                <w:webHidden/>
              </w:rPr>
              <w:t>28</w:t>
            </w:r>
            <w:r>
              <w:rPr>
                <w:noProof/>
                <w:webHidden/>
              </w:rPr>
              <w:fldChar w:fldCharType="end"/>
            </w:r>
          </w:hyperlink>
        </w:p>
        <w:p w14:paraId="4DB03F29" w14:textId="50559509" w:rsidR="00516CC4" w:rsidRDefault="00516CC4" w:rsidP="00516CC4">
          <w:pPr>
            <w:pStyle w:val="TOC2"/>
            <w:tabs>
              <w:tab w:val="left" w:leader="dot" w:pos="9090"/>
            </w:tabs>
            <w:rPr>
              <w:rFonts w:asciiTheme="minorHAnsi" w:eastAsiaTheme="minorEastAsia" w:hAnsiTheme="minorHAnsi" w:cstheme="minorBidi"/>
              <w:noProof/>
              <w:kern w:val="2"/>
              <w:lang w:eastAsia="en-US"/>
              <w14:ligatures w14:val="standardContextual"/>
            </w:rPr>
          </w:pPr>
          <w:hyperlink w:anchor="_Toc202446769" w:history="1">
            <w:r w:rsidRPr="0097449C">
              <w:rPr>
                <w:rStyle w:val="Hyperlink"/>
                <w:bCs/>
                <w:noProof/>
              </w:rPr>
              <w:t>C.</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DSM Plan.</w:t>
            </w:r>
            <w:r>
              <w:rPr>
                <w:noProof/>
                <w:webHidden/>
              </w:rPr>
              <w:tab/>
            </w:r>
            <w:r>
              <w:rPr>
                <w:noProof/>
                <w:webHidden/>
              </w:rPr>
              <w:fldChar w:fldCharType="begin"/>
            </w:r>
            <w:r>
              <w:rPr>
                <w:noProof/>
                <w:webHidden/>
              </w:rPr>
              <w:instrText xml:space="preserve"> PAGEREF _Toc202446769 \h </w:instrText>
            </w:r>
            <w:r>
              <w:rPr>
                <w:noProof/>
                <w:webHidden/>
              </w:rPr>
            </w:r>
            <w:r>
              <w:rPr>
                <w:noProof/>
                <w:webHidden/>
              </w:rPr>
              <w:fldChar w:fldCharType="separate"/>
            </w:r>
            <w:r w:rsidR="00F137AB">
              <w:rPr>
                <w:noProof/>
                <w:webHidden/>
              </w:rPr>
              <w:t>31</w:t>
            </w:r>
            <w:r>
              <w:rPr>
                <w:noProof/>
                <w:webHidden/>
              </w:rPr>
              <w:fldChar w:fldCharType="end"/>
            </w:r>
          </w:hyperlink>
        </w:p>
        <w:p w14:paraId="7D73D777" w14:textId="7AF285D4"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0" w:history="1">
            <w:r w:rsidRPr="0097449C">
              <w:rPr>
                <w:rStyle w:val="Hyperlink"/>
                <w:noProof/>
              </w:rPr>
              <w:t>1.</w:t>
            </w:r>
            <w:r>
              <w:rPr>
                <w:rFonts w:asciiTheme="minorHAnsi" w:eastAsiaTheme="minorEastAsia" w:hAnsiTheme="minorHAnsi" w:cstheme="minorBidi"/>
                <w:noProof/>
                <w:kern w:val="2"/>
                <w:lang w:eastAsia="en-US"/>
                <w14:ligatures w14:val="standardContextual"/>
              </w:rPr>
              <w:tab/>
            </w:r>
            <w:r w:rsidRPr="0097449C">
              <w:rPr>
                <w:rStyle w:val="Hyperlink"/>
                <w:noProof/>
              </w:rPr>
              <w:t>The Commission should approve the Company’s Proposed Case and DSM Plan.</w:t>
            </w:r>
            <w:r>
              <w:rPr>
                <w:noProof/>
                <w:webHidden/>
              </w:rPr>
              <w:tab/>
            </w:r>
            <w:r>
              <w:rPr>
                <w:noProof/>
                <w:webHidden/>
              </w:rPr>
              <w:fldChar w:fldCharType="begin"/>
            </w:r>
            <w:r>
              <w:rPr>
                <w:noProof/>
                <w:webHidden/>
              </w:rPr>
              <w:instrText xml:space="preserve"> PAGEREF _Toc202446770 \h </w:instrText>
            </w:r>
            <w:r>
              <w:rPr>
                <w:noProof/>
                <w:webHidden/>
              </w:rPr>
            </w:r>
            <w:r>
              <w:rPr>
                <w:noProof/>
                <w:webHidden/>
              </w:rPr>
              <w:fldChar w:fldCharType="separate"/>
            </w:r>
            <w:r w:rsidR="00F137AB">
              <w:rPr>
                <w:noProof/>
                <w:webHidden/>
              </w:rPr>
              <w:t>31</w:t>
            </w:r>
            <w:r>
              <w:rPr>
                <w:noProof/>
                <w:webHidden/>
              </w:rPr>
              <w:fldChar w:fldCharType="end"/>
            </w:r>
          </w:hyperlink>
        </w:p>
        <w:p w14:paraId="601DECAF" w14:textId="6DB1056B"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1" w:history="1">
            <w:r w:rsidRPr="0097449C">
              <w:rPr>
                <w:rStyle w:val="Hyperlink"/>
                <w:noProof/>
              </w:rPr>
              <w:t>2.</w:t>
            </w:r>
            <w:r>
              <w:rPr>
                <w:rFonts w:asciiTheme="minorHAnsi" w:eastAsiaTheme="minorEastAsia" w:hAnsiTheme="minorHAnsi" w:cstheme="minorBidi"/>
                <w:noProof/>
                <w:kern w:val="2"/>
                <w:lang w:eastAsia="en-US"/>
                <w14:ligatures w14:val="standardContextual"/>
              </w:rPr>
              <w:tab/>
            </w:r>
            <w:r w:rsidRPr="0097449C">
              <w:rPr>
                <w:rStyle w:val="Hyperlink"/>
                <w:noProof/>
              </w:rPr>
              <w:t>Alternatively, the Company finds PIA Staff’s Recommended Case to be reasonable.</w:t>
            </w:r>
            <w:r>
              <w:rPr>
                <w:noProof/>
                <w:webHidden/>
              </w:rPr>
              <w:tab/>
            </w:r>
            <w:r>
              <w:rPr>
                <w:noProof/>
                <w:webHidden/>
              </w:rPr>
              <w:fldChar w:fldCharType="begin"/>
            </w:r>
            <w:r>
              <w:rPr>
                <w:noProof/>
                <w:webHidden/>
              </w:rPr>
              <w:instrText xml:space="preserve"> PAGEREF _Toc202446771 \h </w:instrText>
            </w:r>
            <w:r>
              <w:rPr>
                <w:noProof/>
                <w:webHidden/>
              </w:rPr>
            </w:r>
            <w:r>
              <w:rPr>
                <w:noProof/>
                <w:webHidden/>
              </w:rPr>
              <w:fldChar w:fldCharType="separate"/>
            </w:r>
            <w:r w:rsidR="00F137AB">
              <w:rPr>
                <w:noProof/>
                <w:webHidden/>
              </w:rPr>
              <w:t>31</w:t>
            </w:r>
            <w:r>
              <w:rPr>
                <w:noProof/>
                <w:webHidden/>
              </w:rPr>
              <w:fldChar w:fldCharType="end"/>
            </w:r>
          </w:hyperlink>
        </w:p>
        <w:p w14:paraId="770DEA89" w14:textId="4D1ED96A"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2" w:history="1">
            <w:r w:rsidRPr="0097449C">
              <w:rPr>
                <w:rStyle w:val="Hyperlink"/>
                <w:noProof/>
              </w:rPr>
              <w:t>3.</w:t>
            </w:r>
            <w:r>
              <w:rPr>
                <w:rFonts w:asciiTheme="minorHAnsi" w:eastAsiaTheme="minorEastAsia" w:hAnsiTheme="minorHAnsi" w:cstheme="minorBidi"/>
                <w:noProof/>
                <w:kern w:val="2"/>
                <w:lang w:eastAsia="en-US"/>
                <w14:ligatures w14:val="standardContextual"/>
              </w:rPr>
              <w:tab/>
            </w:r>
            <w:r w:rsidRPr="0097449C">
              <w:rPr>
                <w:rStyle w:val="Hyperlink"/>
                <w:noProof/>
              </w:rPr>
              <w:t>Georgia Power should not be required to continue the Supply-Side Case.</w:t>
            </w:r>
            <w:r>
              <w:rPr>
                <w:noProof/>
                <w:webHidden/>
              </w:rPr>
              <w:tab/>
            </w:r>
            <w:r>
              <w:rPr>
                <w:noProof/>
                <w:webHidden/>
              </w:rPr>
              <w:fldChar w:fldCharType="begin"/>
            </w:r>
            <w:r>
              <w:rPr>
                <w:noProof/>
                <w:webHidden/>
              </w:rPr>
              <w:instrText xml:space="preserve"> PAGEREF _Toc202446772 \h </w:instrText>
            </w:r>
            <w:r>
              <w:rPr>
                <w:noProof/>
                <w:webHidden/>
              </w:rPr>
            </w:r>
            <w:r>
              <w:rPr>
                <w:noProof/>
                <w:webHidden/>
              </w:rPr>
              <w:fldChar w:fldCharType="separate"/>
            </w:r>
            <w:r w:rsidR="00F137AB">
              <w:rPr>
                <w:noProof/>
                <w:webHidden/>
              </w:rPr>
              <w:t>32</w:t>
            </w:r>
            <w:r>
              <w:rPr>
                <w:noProof/>
                <w:webHidden/>
              </w:rPr>
              <w:fldChar w:fldCharType="end"/>
            </w:r>
          </w:hyperlink>
        </w:p>
        <w:p w14:paraId="6BEB785D" w14:textId="728C78C0"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3" w:history="1">
            <w:r w:rsidRPr="0097449C">
              <w:rPr>
                <w:rStyle w:val="Hyperlink"/>
                <w:noProof/>
              </w:rPr>
              <w:t>4.</w:t>
            </w:r>
            <w:r>
              <w:rPr>
                <w:rFonts w:asciiTheme="minorHAnsi" w:eastAsiaTheme="minorEastAsia" w:hAnsiTheme="minorHAnsi" w:cstheme="minorBidi"/>
                <w:noProof/>
                <w:kern w:val="2"/>
                <w:lang w:eastAsia="en-US"/>
                <w14:ligatures w14:val="standardContextual"/>
              </w:rPr>
              <w:tab/>
            </w:r>
            <w:r w:rsidRPr="0097449C">
              <w:rPr>
                <w:rStyle w:val="Hyperlink"/>
                <w:i/>
                <w:iCs/>
                <w:noProof/>
              </w:rPr>
              <w:t>DSM Budget</w:t>
            </w:r>
            <w:r w:rsidRPr="0097449C">
              <w:rPr>
                <w:rStyle w:val="Hyperlink"/>
                <w:noProof/>
              </w:rPr>
              <w:t>: The Proposed Case DSM budget is required in light of the increased savings target included in the Commission’s Vogtle Prudence Order.</w:t>
            </w:r>
            <w:r>
              <w:rPr>
                <w:noProof/>
                <w:webHidden/>
              </w:rPr>
              <w:tab/>
            </w:r>
            <w:r>
              <w:rPr>
                <w:noProof/>
                <w:webHidden/>
              </w:rPr>
              <w:fldChar w:fldCharType="begin"/>
            </w:r>
            <w:r>
              <w:rPr>
                <w:noProof/>
                <w:webHidden/>
              </w:rPr>
              <w:instrText xml:space="preserve"> PAGEREF _Toc202446773 \h </w:instrText>
            </w:r>
            <w:r>
              <w:rPr>
                <w:noProof/>
                <w:webHidden/>
              </w:rPr>
            </w:r>
            <w:r>
              <w:rPr>
                <w:noProof/>
                <w:webHidden/>
              </w:rPr>
              <w:fldChar w:fldCharType="separate"/>
            </w:r>
            <w:r w:rsidR="00F137AB">
              <w:rPr>
                <w:noProof/>
                <w:webHidden/>
              </w:rPr>
              <w:t>33</w:t>
            </w:r>
            <w:r>
              <w:rPr>
                <w:noProof/>
                <w:webHidden/>
              </w:rPr>
              <w:fldChar w:fldCharType="end"/>
            </w:r>
          </w:hyperlink>
        </w:p>
        <w:p w14:paraId="43756585" w14:textId="5A168475"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4" w:history="1">
            <w:r w:rsidRPr="0097449C">
              <w:rPr>
                <w:rStyle w:val="Hyperlink"/>
                <w:noProof/>
              </w:rPr>
              <w:t>5.</w:t>
            </w:r>
            <w:r>
              <w:rPr>
                <w:rFonts w:asciiTheme="minorHAnsi" w:eastAsiaTheme="minorEastAsia" w:hAnsiTheme="minorHAnsi" w:cstheme="minorBidi"/>
                <w:noProof/>
                <w:kern w:val="2"/>
                <w:lang w:eastAsia="en-US"/>
                <w14:ligatures w14:val="standardContextual"/>
              </w:rPr>
              <w:tab/>
            </w:r>
            <w:r w:rsidRPr="0097449C">
              <w:rPr>
                <w:rStyle w:val="Hyperlink"/>
                <w:i/>
                <w:iCs/>
                <w:noProof/>
              </w:rPr>
              <w:t>On-Bill Financing</w:t>
            </w:r>
            <w:r w:rsidRPr="0097449C">
              <w:rPr>
                <w:rStyle w:val="Hyperlink"/>
                <w:noProof/>
              </w:rPr>
              <w:t>: It is not prudent to offer on-bill financing due to the lack of success of the Residential Investment Saving Energy (“RISE”) Pilot and the ultimate expense to customers.</w:t>
            </w:r>
            <w:r>
              <w:rPr>
                <w:noProof/>
                <w:webHidden/>
              </w:rPr>
              <w:tab/>
            </w:r>
            <w:r>
              <w:rPr>
                <w:noProof/>
                <w:webHidden/>
              </w:rPr>
              <w:fldChar w:fldCharType="begin"/>
            </w:r>
            <w:r>
              <w:rPr>
                <w:noProof/>
                <w:webHidden/>
              </w:rPr>
              <w:instrText xml:space="preserve"> PAGEREF _Toc202446774 \h </w:instrText>
            </w:r>
            <w:r>
              <w:rPr>
                <w:noProof/>
                <w:webHidden/>
              </w:rPr>
            </w:r>
            <w:r>
              <w:rPr>
                <w:noProof/>
                <w:webHidden/>
              </w:rPr>
              <w:fldChar w:fldCharType="separate"/>
            </w:r>
            <w:r w:rsidR="00F137AB">
              <w:rPr>
                <w:noProof/>
                <w:webHidden/>
              </w:rPr>
              <w:t>34</w:t>
            </w:r>
            <w:r>
              <w:rPr>
                <w:noProof/>
                <w:webHidden/>
              </w:rPr>
              <w:fldChar w:fldCharType="end"/>
            </w:r>
          </w:hyperlink>
        </w:p>
        <w:p w14:paraId="09C48227" w14:textId="50834C1D" w:rsidR="00516CC4" w:rsidRDefault="00516CC4" w:rsidP="00516CC4">
          <w:pPr>
            <w:pStyle w:val="TOC3"/>
            <w:tabs>
              <w:tab w:val="left" w:leader="dot" w:pos="9090"/>
            </w:tabs>
            <w:rPr>
              <w:rFonts w:asciiTheme="minorHAnsi" w:eastAsiaTheme="minorEastAsia" w:hAnsiTheme="minorHAnsi" w:cstheme="minorBidi"/>
              <w:noProof/>
              <w:kern w:val="2"/>
              <w:lang w:eastAsia="en-US"/>
              <w14:ligatures w14:val="standardContextual"/>
            </w:rPr>
          </w:pPr>
          <w:hyperlink w:anchor="_Toc202446775" w:history="1">
            <w:r w:rsidRPr="0097449C">
              <w:rPr>
                <w:rStyle w:val="Hyperlink"/>
                <w:noProof/>
              </w:rPr>
              <w:t>6.</w:t>
            </w:r>
            <w:r>
              <w:rPr>
                <w:rFonts w:asciiTheme="minorHAnsi" w:eastAsiaTheme="minorEastAsia" w:hAnsiTheme="minorHAnsi" w:cstheme="minorBidi"/>
                <w:noProof/>
                <w:kern w:val="2"/>
                <w:lang w:eastAsia="en-US"/>
                <w14:ligatures w14:val="standardContextual"/>
              </w:rPr>
              <w:tab/>
            </w:r>
            <w:r w:rsidRPr="0097449C">
              <w:rPr>
                <w:rStyle w:val="Hyperlink"/>
                <w:i/>
                <w:iCs/>
                <w:noProof/>
              </w:rPr>
              <w:t>DSM Costs and Additional Sum</w:t>
            </w:r>
            <w:r w:rsidRPr="0097449C">
              <w:rPr>
                <w:rStyle w:val="Hyperlink"/>
                <w:noProof/>
              </w:rPr>
              <w:t>: The Commission should approve the costs for all approved and certified DSM programs, pilots, and other activities. The Commission should approve an additional sum of $0.04 for every kWh saved.</w:t>
            </w:r>
            <w:r>
              <w:rPr>
                <w:noProof/>
                <w:webHidden/>
              </w:rPr>
              <w:tab/>
            </w:r>
            <w:r>
              <w:rPr>
                <w:noProof/>
                <w:webHidden/>
              </w:rPr>
              <w:fldChar w:fldCharType="begin"/>
            </w:r>
            <w:r>
              <w:rPr>
                <w:noProof/>
                <w:webHidden/>
              </w:rPr>
              <w:instrText xml:space="preserve"> PAGEREF _Toc202446775 \h </w:instrText>
            </w:r>
            <w:r>
              <w:rPr>
                <w:noProof/>
                <w:webHidden/>
              </w:rPr>
            </w:r>
            <w:r>
              <w:rPr>
                <w:noProof/>
                <w:webHidden/>
              </w:rPr>
              <w:fldChar w:fldCharType="separate"/>
            </w:r>
            <w:r w:rsidR="00F137AB">
              <w:rPr>
                <w:noProof/>
                <w:webHidden/>
              </w:rPr>
              <w:t>35</w:t>
            </w:r>
            <w:r>
              <w:rPr>
                <w:noProof/>
                <w:webHidden/>
              </w:rPr>
              <w:fldChar w:fldCharType="end"/>
            </w:r>
          </w:hyperlink>
        </w:p>
        <w:p w14:paraId="52C1B5AF" w14:textId="56A2F9F0" w:rsidR="00516CC4" w:rsidRDefault="00516CC4" w:rsidP="00516CC4">
          <w:pPr>
            <w:pStyle w:val="TOC2"/>
            <w:tabs>
              <w:tab w:val="left" w:leader="dot" w:pos="9090"/>
            </w:tabs>
            <w:rPr>
              <w:rFonts w:asciiTheme="minorHAnsi" w:eastAsiaTheme="minorEastAsia" w:hAnsiTheme="minorHAnsi" w:cstheme="minorBidi"/>
              <w:noProof/>
              <w:kern w:val="2"/>
              <w:lang w:eastAsia="en-US"/>
              <w14:ligatures w14:val="standardContextual"/>
            </w:rPr>
          </w:pPr>
          <w:hyperlink w:anchor="_Toc202446776" w:history="1">
            <w:r w:rsidRPr="0097449C">
              <w:rPr>
                <w:rStyle w:val="Hyperlink"/>
                <w:noProof/>
              </w:rPr>
              <w:t>D.</w:t>
            </w:r>
            <w:r>
              <w:rPr>
                <w:rFonts w:asciiTheme="minorHAnsi" w:eastAsiaTheme="minorEastAsia" w:hAnsiTheme="minorHAnsi" w:cstheme="minorBidi"/>
                <w:noProof/>
                <w:kern w:val="2"/>
                <w:lang w:eastAsia="en-US"/>
                <w14:ligatures w14:val="standardContextual"/>
              </w:rPr>
              <w:tab/>
            </w:r>
            <w:r w:rsidRPr="0097449C">
              <w:rPr>
                <w:rStyle w:val="Hyperlink"/>
                <w:noProof/>
              </w:rPr>
              <w:t>Georgia Power’s Decision Not to Rebut Every PIA Staff and Intervenor Assertion or Allegation Does Not Mean that Georgia Power Concedes or Agrees with the Assertion or Allegation.</w:t>
            </w:r>
            <w:r>
              <w:rPr>
                <w:noProof/>
                <w:webHidden/>
              </w:rPr>
              <w:tab/>
            </w:r>
            <w:r>
              <w:rPr>
                <w:noProof/>
                <w:webHidden/>
              </w:rPr>
              <w:fldChar w:fldCharType="begin"/>
            </w:r>
            <w:r>
              <w:rPr>
                <w:noProof/>
                <w:webHidden/>
              </w:rPr>
              <w:instrText xml:space="preserve"> PAGEREF _Toc202446776 \h </w:instrText>
            </w:r>
            <w:r>
              <w:rPr>
                <w:noProof/>
                <w:webHidden/>
              </w:rPr>
            </w:r>
            <w:r>
              <w:rPr>
                <w:noProof/>
                <w:webHidden/>
              </w:rPr>
              <w:fldChar w:fldCharType="separate"/>
            </w:r>
            <w:r w:rsidR="00F137AB">
              <w:rPr>
                <w:noProof/>
                <w:webHidden/>
              </w:rPr>
              <w:t>36</w:t>
            </w:r>
            <w:r>
              <w:rPr>
                <w:noProof/>
                <w:webHidden/>
              </w:rPr>
              <w:fldChar w:fldCharType="end"/>
            </w:r>
          </w:hyperlink>
        </w:p>
        <w:p w14:paraId="6C63D828" w14:textId="5849FB58" w:rsidR="00516CC4" w:rsidRDefault="00516CC4" w:rsidP="00516CC4">
          <w:pPr>
            <w:pStyle w:val="TOC1"/>
            <w:tabs>
              <w:tab w:val="clear" w:pos="9072"/>
              <w:tab w:val="left" w:leader="dot" w:pos="9090"/>
            </w:tabs>
            <w:rPr>
              <w:rFonts w:asciiTheme="minorHAnsi" w:eastAsiaTheme="minorEastAsia" w:hAnsiTheme="minorHAnsi" w:cstheme="minorBidi"/>
              <w:b w:val="0"/>
              <w:noProof/>
              <w:kern w:val="2"/>
              <w14:ligatures w14:val="standardContextual"/>
            </w:rPr>
          </w:pPr>
          <w:hyperlink w:anchor="_Toc202446777" w:history="1">
            <w:r w:rsidRPr="0097449C">
              <w:rPr>
                <w:rStyle w:val="Hyperlink"/>
                <w:noProof/>
              </w:rPr>
              <w:t>V.</w:t>
            </w:r>
            <w:r>
              <w:rPr>
                <w:rFonts w:asciiTheme="minorHAnsi" w:eastAsiaTheme="minorEastAsia" w:hAnsiTheme="minorHAnsi" w:cstheme="minorBidi"/>
                <w:b w:val="0"/>
                <w:noProof/>
                <w:kern w:val="2"/>
                <w14:ligatures w14:val="standardContextual"/>
              </w:rPr>
              <w:tab/>
            </w:r>
            <w:r w:rsidRPr="0097449C">
              <w:rPr>
                <w:rStyle w:val="Hyperlink"/>
                <w:noProof/>
              </w:rPr>
              <w:t>CONCLUSION</w:t>
            </w:r>
            <w:r>
              <w:rPr>
                <w:noProof/>
                <w:webHidden/>
              </w:rPr>
              <w:tab/>
            </w:r>
            <w:r>
              <w:rPr>
                <w:noProof/>
                <w:webHidden/>
              </w:rPr>
              <w:fldChar w:fldCharType="begin"/>
            </w:r>
            <w:r>
              <w:rPr>
                <w:noProof/>
                <w:webHidden/>
              </w:rPr>
              <w:instrText xml:space="preserve"> PAGEREF _Toc202446777 \h </w:instrText>
            </w:r>
            <w:r>
              <w:rPr>
                <w:noProof/>
                <w:webHidden/>
              </w:rPr>
            </w:r>
            <w:r>
              <w:rPr>
                <w:noProof/>
                <w:webHidden/>
              </w:rPr>
              <w:fldChar w:fldCharType="separate"/>
            </w:r>
            <w:r w:rsidR="00F137AB">
              <w:rPr>
                <w:noProof/>
                <w:webHidden/>
              </w:rPr>
              <w:t>37</w:t>
            </w:r>
            <w:r>
              <w:rPr>
                <w:noProof/>
                <w:webHidden/>
              </w:rPr>
              <w:fldChar w:fldCharType="end"/>
            </w:r>
          </w:hyperlink>
        </w:p>
        <w:p w14:paraId="3757352A" w14:textId="4D6871B6" w:rsidR="00B71B62" w:rsidRDefault="00B71B62" w:rsidP="009E6176">
          <w:pPr>
            <w:tabs>
              <w:tab w:val="left" w:leader="dot" w:pos="9000"/>
              <w:tab w:val="left" w:leader="dot" w:pos="9090"/>
            </w:tabs>
          </w:pPr>
          <w:r>
            <w:rPr>
              <w:b/>
              <w:bCs/>
              <w:noProof/>
            </w:rPr>
            <w:fldChar w:fldCharType="end"/>
          </w:r>
        </w:p>
      </w:sdtContent>
    </w:sdt>
    <w:p w14:paraId="3D7900A4" w14:textId="77777777" w:rsidR="00B71B62" w:rsidRDefault="00B71B62" w:rsidP="00654551">
      <w:pPr>
        <w:jc w:val="center"/>
        <w:rPr>
          <w:b/>
        </w:rPr>
      </w:pPr>
    </w:p>
    <w:p w14:paraId="1834E8A4" w14:textId="77777777" w:rsidR="00E17FC1" w:rsidRDefault="00E17FC1" w:rsidP="00654551">
      <w:pPr>
        <w:jc w:val="center"/>
        <w:rPr>
          <w:b/>
        </w:rPr>
        <w:sectPr w:rsidR="00E17FC1" w:rsidSect="00654551">
          <w:footerReference w:type="default" r:id="rId17"/>
          <w:pgSz w:w="12240" w:h="15840"/>
          <w:pgMar w:top="1440" w:right="1440" w:bottom="1440" w:left="1440" w:header="720" w:footer="720" w:gutter="0"/>
          <w:pgNumType w:start="0"/>
          <w:cols w:space="720"/>
          <w:titlePg/>
          <w:docGrid w:linePitch="360"/>
        </w:sectPr>
      </w:pPr>
    </w:p>
    <w:p w14:paraId="40CD9B44" w14:textId="77777777" w:rsidR="00E17FC1" w:rsidRDefault="00774707" w:rsidP="00654551">
      <w:pPr>
        <w:spacing w:line="360" w:lineRule="auto"/>
        <w:jc w:val="center"/>
        <w:rPr>
          <w:rFonts w:eastAsia="Times New Roman"/>
          <w:b/>
          <w:lang w:eastAsia="en-US"/>
        </w:rPr>
      </w:pPr>
      <w:r w:rsidRPr="00CE661A">
        <w:rPr>
          <w:rFonts w:eastAsia="Times New Roman"/>
          <w:b/>
          <w:lang w:eastAsia="en-US"/>
        </w:rPr>
        <w:lastRenderedPageBreak/>
        <w:t>STATE OF GEORGIA</w:t>
      </w:r>
    </w:p>
    <w:p w14:paraId="2ACA68AE" w14:textId="77777777" w:rsidR="00E17FC1" w:rsidRDefault="00E17FC1" w:rsidP="00654551">
      <w:pPr>
        <w:spacing w:line="360" w:lineRule="auto"/>
        <w:jc w:val="center"/>
        <w:rPr>
          <w:rFonts w:eastAsia="MS Mincho"/>
          <w:b/>
          <w:lang w:eastAsia="en-US"/>
        </w:rPr>
      </w:pPr>
    </w:p>
    <w:p w14:paraId="321EA10C" w14:textId="77777777" w:rsidR="00E17FC1" w:rsidRDefault="00774707" w:rsidP="00654551">
      <w:pPr>
        <w:spacing w:line="360" w:lineRule="auto"/>
        <w:jc w:val="center"/>
        <w:rPr>
          <w:rFonts w:eastAsia="MS Mincho"/>
          <w:b/>
          <w:lang w:eastAsia="en-US"/>
        </w:rPr>
      </w:pPr>
      <w:r w:rsidRPr="00CE661A">
        <w:rPr>
          <w:rFonts w:eastAsia="MS Mincho"/>
          <w:b/>
          <w:lang w:eastAsia="en-US"/>
        </w:rPr>
        <w:t xml:space="preserve">BEFORE THE </w:t>
      </w:r>
    </w:p>
    <w:p w14:paraId="5C1507EC" w14:textId="77777777" w:rsidR="00E17FC1" w:rsidRPr="00CE661A" w:rsidRDefault="00774707" w:rsidP="00654551">
      <w:pPr>
        <w:spacing w:line="360" w:lineRule="auto"/>
        <w:jc w:val="center"/>
        <w:rPr>
          <w:rFonts w:eastAsia="MS Mincho"/>
          <w:b/>
          <w:lang w:eastAsia="en-US"/>
        </w:rPr>
      </w:pPr>
      <w:r w:rsidRPr="00CE661A">
        <w:rPr>
          <w:rFonts w:eastAsia="MS Mincho"/>
          <w:b/>
          <w:lang w:eastAsia="en-US"/>
        </w:rPr>
        <w:t>GEORGIA PUBLIC SERVICE COMMISSION</w:t>
      </w:r>
    </w:p>
    <w:p w14:paraId="2DDDDC46" w14:textId="77777777" w:rsidR="00E17FC1" w:rsidRDefault="00E17FC1" w:rsidP="00654551">
      <w:pPr>
        <w:rPr>
          <w:rFonts w:eastAsia="Times New Roman"/>
          <w:b/>
          <w:lang w:eastAsia="en-US"/>
        </w:rPr>
      </w:pPr>
    </w:p>
    <w:p w14:paraId="335846B7" w14:textId="77777777" w:rsidR="00E17FC1" w:rsidRDefault="00E17FC1" w:rsidP="00654551">
      <w:pPr>
        <w:rPr>
          <w:rFonts w:eastAsia="Times New Roman"/>
          <w:b/>
          <w:lang w:eastAsia="en-US"/>
        </w:rPr>
      </w:pPr>
    </w:p>
    <w:p w14:paraId="5C9DB9CA" w14:textId="77777777" w:rsidR="00E17FC1" w:rsidRDefault="00E17FC1" w:rsidP="00654551">
      <w:pPr>
        <w:rPr>
          <w:rFonts w:eastAsia="Times New Roman"/>
          <w:b/>
          <w:lang w:eastAsia="en-US"/>
        </w:rPr>
      </w:pPr>
    </w:p>
    <w:p w14:paraId="29ED5606" w14:textId="77777777" w:rsidR="00E17FC1" w:rsidRPr="00CE661A" w:rsidRDefault="00774707" w:rsidP="00654551">
      <w:pPr>
        <w:spacing w:line="360" w:lineRule="auto"/>
        <w:rPr>
          <w:rFonts w:eastAsia="Times New Roman"/>
          <w:b/>
          <w:lang w:eastAsia="en-US"/>
        </w:rPr>
      </w:pPr>
      <w:r w:rsidRPr="00CE661A">
        <w:rPr>
          <w:rFonts w:eastAsia="Times New Roman"/>
          <w:b/>
          <w:lang w:eastAsia="en-US"/>
        </w:rPr>
        <w:t>Re:</w:t>
      </w:r>
    </w:p>
    <w:p w14:paraId="1109DD47" w14:textId="77777777" w:rsidR="00E17FC1" w:rsidRPr="00CE661A" w:rsidRDefault="00774707" w:rsidP="00654551">
      <w:pPr>
        <w:rPr>
          <w:rFonts w:eastAsia="Times New Roman"/>
          <w:b/>
          <w:lang w:eastAsia="en-US"/>
        </w:rPr>
      </w:pPr>
      <w:r w:rsidRPr="00CE661A">
        <w:rPr>
          <w:rFonts w:eastAsia="Times New Roman"/>
          <w:b/>
          <w:lang w:eastAsia="en-US"/>
        </w:rPr>
        <w:t>Georgia Power Company’s</w:t>
      </w:r>
      <w:r w:rsidRPr="00CE661A">
        <w:rPr>
          <w:rFonts w:eastAsia="Times New Roman"/>
          <w:b/>
          <w:lang w:eastAsia="en-US"/>
        </w:rPr>
        <w:tab/>
      </w:r>
      <w:r w:rsidRPr="00CE661A">
        <w:rPr>
          <w:rFonts w:eastAsia="Times New Roman"/>
          <w:b/>
          <w:lang w:eastAsia="en-US"/>
        </w:rPr>
        <w:tab/>
      </w:r>
      <w:r w:rsidRPr="00CE661A">
        <w:rPr>
          <w:rFonts w:eastAsia="Times New Roman"/>
          <w:b/>
          <w:lang w:eastAsia="en-US"/>
        </w:rPr>
        <w:tab/>
        <w:t>)</w:t>
      </w:r>
    </w:p>
    <w:p w14:paraId="427AB001" w14:textId="254536FC" w:rsidR="00E17FC1" w:rsidRPr="00CE661A" w:rsidRDefault="00774707" w:rsidP="00654551">
      <w:pPr>
        <w:rPr>
          <w:rFonts w:eastAsia="Times New Roman"/>
          <w:b/>
          <w:lang w:eastAsia="en-US"/>
        </w:rPr>
      </w:pPr>
      <w:r w:rsidRPr="00CE661A">
        <w:rPr>
          <w:rFonts w:eastAsia="Times New Roman"/>
          <w:b/>
          <w:lang w:eastAsia="en-US"/>
        </w:rPr>
        <w:t>20</w:t>
      </w:r>
      <w:r>
        <w:rPr>
          <w:rFonts w:eastAsia="Times New Roman"/>
          <w:b/>
          <w:lang w:eastAsia="en-US"/>
        </w:rPr>
        <w:t>2</w:t>
      </w:r>
      <w:r w:rsidR="001946DB">
        <w:rPr>
          <w:rFonts w:eastAsia="Times New Roman"/>
          <w:b/>
          <w:lang w:eastAsia="en-US"/>
        </w:rPr>
        <w:t>5</w:t>
      </w:r>
      <w:r w:rsidRPr="00CE661A">
        <w:rPr>
          <w:rFonts w:eastAsia="Times New Roman"/>
          <w:b/>
          <w:lang w:eastAsia="en-US"/>
        </w:rPr>
        <w:t xml:space="preserve"> Integrated Resource Plan and</w:t>
      </w:r>
      <w:r w:rsidRPr="00CE661A">
        <w:rPr>
          <w:rFonts w:eastAsia="Times New Roman"/>
          <w:b/>
          <w:lang w:eastAsia="en-US"/>
        </w:rPr>
        <w:tab/>
      </w:r>
      <w:r w:rsidRPr="00CE661A">
        <w:rPr>
          <w:rFonts w:eastAsia="Times New Roman"/>
          <w:b/>
          <w:lang w:eastAsia="en-US"/>
        </w:rPr>
        <w:tab/>
        <w:t>)</w:t>
      </w:r>
      <w:r>
        <w:rPr>
          <w:rFonts w:eastAsia="Times New Roman"/>
          <w:b/>
          <w:lang w:eastAsia="en-US"/>
        </w:rPr>
        <w:tab/>
      </w:r>
      <w:r>
        <w:rPr>
          <w:rFonts w:eastAsia="Times New Roman"/>
          <w:b/>
          <w:lang w:eastAsia="en-US"/>
        </w:rPr>
        <w:tab/>
        <w:t xml:space="preserve">Docket No. </w:t>
      </w:r>
      <w:r w:rsidR="001946DB">
        <w:rPr>
          <w:rFonts w:eastAsia="Times New Roman"/>
          <w:b/>
          <w:lang w:eastAsia="en-US"/>
        </w:rPr>
        <w:t>56002</w:t>
      </w:r>
    </w:p>
    <w:p w14:paraId="77BEED94" w14:textId="77777777" w:rsidR="00E17FC1" w:rsidRPr="00CE661A" w:rsidRDefault="00E17FC1" w:rsidP="00654551">
      <w:pPr>
        <w:rPr>
          <w:rFonts w:eastAsia="Times New Roman"/>
          <w:b/>
          <w:lang w:eastAsia="en-US"/>
        </w:rPr>
      </w:pPr>
    </w:p>
    <w:p w14:paraId="72AD3116" w14:textId="77777777" w:rsidR="00E17FC1" w:rsidRPr="00CE661A" w:rsidRDefault="00774707" w:rsidP="00654551">
      <w:pPr>
        <w:rPr>
          <w:rFonts w:eastAsia="Times New Roman"/>
          <w:b/>
          <w:lang w:eastAsia="en-US"/>
        </w:rPr>
      </w:pPr>
      <w:r w:rsidRPr="00CE661A">
        <w:rPr>
          <w:rFonts w:eastAsia="Times New Roman"/>
          <w:b/>
          <w:lang w:eastAsia="en-US"/>
        </w:rPr>
        <w:t>Georgia Power Company’s</w:t>
      </w:r>
      <w:r w:rsidRPr="00CE661A">
        <w:rPr>
          <w:rFonts w:eastAsia="Times New Roman"/>
          <w:b/>
          <w:lang w:eastAsia="en-US"/>
        </w:rPr>
        <w:tab/>
      </w:r>
      <w:r w:rsidRPr="00CE661A">
        <w:rPr>
          <w:rFonts w:eastAsia="Times New Roman"/>
          <w:b/>
          <w:lang w:eastAsia="en-US"/>
        </w:rPr>
        <w:tab/>
      </w:r>
      <w:r w:rsidRPr="00CE661A">
        <w:rPr>
          <w:rFonts w:eastAsia="Times New Roman"/>
          <w:b/>
          <w:lang w:eastAsia="en-US"/>
        </w:rPr>
        <w:tab/>
        <w:t>)</w:t>
      </w:r>
    </w:p>
    <w:p w14:paraId="79410F9A" w14:textId="74421827" w:rsidR="00E17FC1" w:rsidRPr="00CE661A" w:rsidRDefault="00774707" w:rsidP="00654551">
      <w:pPr>
        <w:rPr>
          <w:rFonts w:eastAsia="Times New Roman"/>
          <w:b/>
          <w:lang w:eastAsia="en-US"/>
        </w:rPr>
      </w:pPr>
      <w:r>
        <w:rPr>
          <w:rFonts w:eastAsia="Times New Roman"/>
          <w:b/>
          <w:lang w:eastAsia="en-US"/>
        </w:rPr>
        <w:t>202</w:t>
      </w:r>
      <w:r w:rsidR="001946DB">
        <w:rPr>
          <w:rFonts w:eastAsia="Times New Roman"/>
          <w:b/>
          <w:lang w:eastAsia="en-US"/>
        </w:rPr>
        <w:t>5</w:t>
      </w:r>
      <w:r>
        <w:rPr>
          <w:rFonts w:eastAsia="Times New Roman"/>
          <w:b/>
          <w:lang w:eastAsia="en-US"/>
        </w:rPr>
        <w:t xml:space="preserve"> </w:t>
      </w:r>
      <w:r w:rsidRPr="00CE661A">
        <w:rPr>
          <w:rFonts w:eastAsia="Times New Roman"/>
          <w:b/>
          <w:lang w:eastAsia="en-US"/>
        </w:rPr>
        <w:t>Application for the Certification,</w:t>
      </w:r>
      <w:r w:rsidRPr="00CE661A">
        <w:rPr>
          <w:rFonts w:eastAsia="Times New Roman"/>
          <w:b/>
          <w:lang w:eastAsia="en-US"/>
        </w:rPr>
        <w:tab/>
        <w:t>)</w:t>
      </w:r>
      <w:r w:rsidRPr="00CE661A">
        <w:rPr>
          <w:rFonts w:eastAsia="Times New Roman"/>
          <w:b/>
          <w:lang w:eastAsia="en-US"/>
        </w:rPr>
        <w:tab/>
      </w:r>
      <w:r>
        <w:rPr>
          <w:rFonts w:eastAsia="Times New Roman"/>
          <w:b/>
          <w:lang w:eastAsia="en-US"/>
        </w:rPr>
        <w:tab/>
      </w:r>
      <w:r w:rsidRPr="00CE661A">
        <w:rPr>
          <w:rFonts w:eastAsia="Times New Roman"/>
          <w:b/>
          <w:lang w:eastAsia="en-US"/>
        </w:rPr>
        <w:t xml:space="preserve">Docket No. </w:t>
      </w:r>
      <w:r w:rsidR="001946DB">
        <w:rPr>
          <w:rFonts w:eastAsia="Times New Roman"/>
          <w:b/>
          <w:lang w:eastAsia="en-US"/>
        </w:rPr>
        <w:t>56003</w:t>
      </w:r>
    </w:p>
    <w:p w14:paraId="50007577" w14:textId="77777777" w:rsidR="00E17FC1" w:rsidRPr="00CE661A" w:rsidRDefault="00774707" w:rsidP="00654551">
      <w:pPr>
        <w:rPr>
          <w:rFonts w:eastAsia="Times New Roman"/>
          <w:b/>
          <w:lang w:eastAsia="en-US"/>
        </w:rPr>
      </w:pPr>
      <w:r w:rsidRPr="00CE661A">
        <w:rPr>
          <w:rFonts w:eastAsia="Times New Roman"/>
          <w:b/>
          <w:lang w:eastAsia="en-US"/>
        </w:rPr>
        <w:t>Decertification and Amended</w:t>
      </w:r>
      <w:r w:rsidRPr="00CE661A">
        <w:rPr>
          <w:rFonts w:eastAsia="Times New Roman"/>
          <w:b/>
          <w:lang w:eastAsia="en-US"/>
        </w:rPr>
        <w:tab/>
      </w:r>
      <w:r w:rsidRPr="00CE661A">
        <w:rPr>
          <w:rFonts w:eastAsia="Times New Roman"/>
          <w:b/>
          <w:lang w:eastAsia="en-US"/>
        </w:rPr>
        <w:tab/>
        <w:t>)</w:t>
      </w:r>
    </w:p>
    <w:p w14:paraId="3CA72D13" w14:textId="77777777" w:rsidR="00E17FC1" w:rsidRPr="00CE661A" w:rsidRDefault="00774707" w:rsidP="00654551">
      <w:pPr>
        <w:rPr>
          <w:rFonts w:eastAsia="Times New Roman"/>
          <w:b/>
          <w:lang w:eastAsia="en-US"/>
        </w:rPr>
      </w:pPr>
      <w:r w:rsidRPr="00CE661A">
        <w:rPr>
          <w:rFonts w:eastAsia="Times New Roman"/>
          <w:b/>
          <w:lang w:eastAsia="en-US"/>
        </w:rPr>
        <w:t>Demand Side Management Plan</w:t>
      </w:r>
      <w:r w:rsidRPr="00CE661A">
        <w:rPr>
          <w:rFonts w:eastAsia="Times New Roman"/>
          <w:b/>
          <w:lang w:eastAsia="en-US"/>
        </w:rPr>
        <w:tab/>
      </w:r>
      <w:r w:rsidRPr="00CE661A">
        <w:rPr>
          <w:rFonts w:eastAsia="Times New Roman"/>
          <w:b/>
          <w:lang w:eastAsia="en-US"/>
        </w:rPr>
        <w:tab/>
        <w:t>)</w:t>
      </w:r>
    </w:p>
    <w:p w14:paraId="7478F962" w14:textId="77777777" w:rsidR="00E17FC1" w:rsidRPr="00CE661A" w:rsidRDefault="00E17FC1" w:rsidP="00654551">
      <w:pPr>
        <w:rPr>
          <w:rFonts w:eastAsia="Times New Roman"/>
          <w:lang w:eastAsia="en-US"/>
        </w:rPr>
      </w:pPr>
    </w:p>
    <w:p w14:paraId="60040961" w14:textId="77777777" w:rsidR="00E17FC1" w:rsidRDefault="00E17FC1" w:rsidP="00654551">
      <w:pPr>
        <w:jc w:val="center"/>
        <w:rPr>
          <w:b/>
          <w:u w:val="single"/>
        </w:rPr>
      </w:pPr>
    </w:p>
    <w:p w14:paraId="15E8B3EB" w14:textId="77777777" w:rsidR="00E17FC1" w:rsidRDefault="00E17FC1" w:rsidP="00654551">
      <w:pPr>
        <w:jc w:val="center"/>
        <w:rPr>
          <w:b/>
          <w:u w:val="single"/>
        </w:rPr>
      </w:pPr>
    </w:p>
    <w:p w14:paraId="1B4B0482" w14:textId="77777777" w:rsidR="00E17FC1" w:rsidRPr="00787023" w:rsidRDefault="00774707" w:rsidP="00654551">
      <w:pPr>
        <w:jc w:val="center"/>
        <w:rPr>
          <w:b/>
          <w:u w:val="single"/>
        </w:rPr>
      </w:pPr>
      <w:r w:rsidRPr="00787023">
        <w:rPr>
          <w:b/>
          <w:u w:val="single"/>
        </w:rPr>
        <w:t>POST HEARING BRIEF</w:t>
      </w:r>
    </w:p>
    <w:p w14:paraId="27F8A34E" w14:textId="77777777" w:rsidR="00E17FC1" w:rsidRDefault="00774707" w:rsidP="00654551">
      <w:pPr>
        <w:jc w:val="center"/>
        <w:rPr>
          <w:b/>
          <w:u w:val="single"/>
        </w:rPr>
      </w:pPr>
      <w:r w:rsidRPr="00787023">
        <w:rPr>
          <w:b/>
          <w:u w:val="single"/>
        </w:rPr>
        <w:t>OF GEORGIA POWER COMPANY</w:t>
      </w:r>
    </w:p>
    <w:p w14:paraId="0100FEBC" w14:textId="055219DD" w:rsidR="00EB256F" w:rsidRPr="009707A8" w:rsidRDefault="00EB256F" w:rsidP="00D930B7">
      <w:pPr>
        <w:pStyle w:val="Heading1"/>
      </w:pPr>
      <w:bookmarkStart w:id="0" w:name="_Toc202446754"/>
      <w:r w:rsidRPr="009707A8">
        <w:t>INTRODUCTION</w:t>
      </w:r>
      <w:bookmarkEnd w:id="0"/>
    </w:p>
    <w:p w14:paraId="70B2F863" w14:textId="25212352" w:rsidR="00B965FE" w:rsidRDefault="00774707" w:rsidP="00CE6D51">
      <w:pPr>
        <w:pStyle w:val="SSBodyText"/>
      </w:pPr>
      <w:r w:rsidRPr="00813F3F">
        <w:t xml:space="preserve">The matters presently pending before the Georgia Public Service Commission (the “Commission”) are Georgia Power Company’s (“Georgia Power” or the “Company”) </w:t>
      </w:r>
      <w:r>
        <w:t>202</w:t>
      </w:r>
      <w:r w:rsidR="001946DB">
        <w:t>5</w:t>
      </w:r>
      <w:r w:rsidRPr="00813F3F">
        <w:t xml:space="preserve"> Integrated Resource Plan (“IRP”) in Docket No.</w:t>
      </w:r>
      <w:r>
        <w:t xml:space="preserve"> </w:t>
      </w:r>
      <w:r w:rsidR="001946DB">
        <w:t>56002</w:t>
      </w:r>
      <w:r w:rsidRPr="00813F3F">
        <w:t xml:space="preserve"> and its </w:t>
      </w:r>
      <w:r>
        <w:t>202</w:t>
      </w:r>
      <w:r w:rsidR="001946DB">
        <w:t>5</w:t>
      </w:r>
      <w:r>
        <w:t xml:space="preserve"> </w:t>
      </w:r>
      <w:r w:rsidRPr="00813F3F">
        <w:t>Application for the Certification</w:t>
      </w:r>
      <w:r>
        <w:t>, Decertification, and</w:t>
      </w:r>
      <w:r w:rsidRPr="00813F3F">
        <w:t xml:space="preserve"> Amended Demand Side Management Plan in Docket No. </w:t>
      </w:r>
      <w:r w:rsidR="001946DB">
        <w:t>56003</w:t>
      </w:r>
      <w:r w:rsidRPr="00813F3F">
        <w:t xml:space="preserve"> (“DSM Application”</w:t>
      </w:r>
      <w:r>
        <w:t>).</w:t>
      </w:r>
    </w:p>
    <w:p w14:paraId="49914408" w14:textId="37DEB0BB" w:rsidR="00521067" w:rsidRDefault="0083235E" w:rsidP="00CE6D51">
      <w:pPr>
        <w:pStyle w:val="SSBodyText"/>
        <w:rPr>
          <w:highlight w:val="green"/>
        </w:rPr>
      </w:pPr>
      <w:r w:rsidRPr="00CC05B8">
        <w:t>For the reasons set forth herein, Georgia Power’s request</w:t>
      </w:r>
      <w:r w:rsidRPr="00124B7D">
        <w:t xml:space="preserve"> benefits all customers by preserving and protecting reliability and supporting the continued economic development of our </w:t>
      </w:r>
      <w:r w:rsidRPr="0030398D">
        <w:t xml:space="preserve">state </w:t>
      </w:r>
      <w:r w:rsidR="00C31A63" w:rsidRPr="0030398D">
        <w:t xml:space="preserve">in an economical manner </w:t>
      </w:r>
      <w:r w:rsidRPr="0030398D">
        <w:t xml:space="preserve">for all customers. Accordingly, the Commission should approve </w:t>
      </w:r>
      <w:r w:rsidR="006C651D">
        <w:t>Georgia Power’s</w:t>
      </w:r>
      <w:r w:rsidRPr="0030398D">
        <w:t xml:space="preserve"> 2025 IRP</w:t>
      </w:r>
      <w:r w:rsidR="00390CE9" w:rsidRPr="0030398D">
        <w:t xml:space="preserve"> </w:t>
      </w:r>
      <w:r w:rsidRPr="0030398D">
        <w:t xml:space="preserve">and DSM Application, as modified by </w:t>
      </w:r>
      <w:r w:rsidR="009524DC" w:rsidRPr="0030398D">
        <w:t xml:space="preserve">recommendations </w:t>
      </w:r>
      <w:r w:rsidR="008F4DB2" w:rsidRPr="0030398D">
        <w:t>included</w:t>
      </w:r>
      <w:r w:rsidR="009524DC" w:rsidRPr="0030398D">
        <w:t xml:space="preserve"> in</w:t>
      </w:r>
      <w:r w:rsidR="006C651D">
        <w:t xml:space="preserve"> Georgia Power’s </w:t>
      </w:r>
      <w:r w:rsidR="009524DC" w:rsidRPr="0030398D">
        <w:t>Rebuttal Testimony</w:t>
      </w:r>
      <w:r w:rsidRPr="0030398D">
        <w:t>.</w:t>
      </w:r>
    </w:p>
    <w:p w14:paraId="01E38ABE" w14:textId="73252B25" w:rsidR="00E17FC1" w:rsidRPr="00CE1DEF" w:rsidRDefault="0030398D" w:rsidP="00D930B7">
      <w:pPr>
        <w:pStyle w:val="Heading1"/>
      </w:pPr>
      <w:bookmarkStart w:id="1" w:name="_Toc202446755"/>
      <w:r>
        <w:lastRenderedPageBreak/>
        <w:t xml:space="preserve">GEORGIA POWER 2025 IRP </w:t>
      </w:r>
      <w:r w:rsidR="00042411">
        <w:t>SUMMARY</w:t>
      </w:r>
      <w:bookmarkEnd w:id="1"/>
    </w:p>
    <w:p w14:paraId="5409E4DB" w14:textId="1EF7F812" w:rsidR="00E17FC1" w:rsidRPr="006F22ED" w:rsidRDefault="00390CE9" w:rsidP="00CE6D51">
      <w:pPr>
        <w:pStyle w:val="SSBodyText"/>
      </w:pPr>
      <w:r w:rsidRPr="006F22ED">
        <w:t xml:space="preserve">The Commission should approve the Company’s 2025 IRP and DSM Application because it represents a reasonable path to ensuring that Georgia Power can continue to serve its existing and growing customer base with the reliability that customers value and expect, while continuing to support Georgia’s growing and thriving economy. In addition to providing necessary capacity resources to support the Company’s growing customer load and the state’s growing economy, the </w:t>
      </w:r>
      <w:r w:rsidR="004E2B3C">
        <w:t>2025 IRP and DSM Application</w:t>
      </w:r>
      <w:r w:rsidR="004E2B3C" w:rsidRPr="006F22ED">
        <w:t xml:space="preserve"> </w:t>
      </w:r>
      <w:r w:rsidRPr="006F22ED">
        <w:t>provide substantial protections and numerous benefits to all customers.</w:t>
      </w:r>
    </w:p>
    <w:p w14:paraId="49D7D9E1" w14:textId="0FEF04A3" w:rsidR="004E2B3C" w:rsidRDefault="0047000F" w:rsidP="00CE6D51">
      <w:pPr>
        <w:pStyle w:val="SSBodyText"/>
      </w:pPr>
      <w:r w:rsidRPr="0047000F">
        <w:t xml:space="preserve">Consistent with prior IRPs, Georgia Power continues </w:t>
      </w:r>
      <w:r w:rsidR="007D6DDB">
        <w:t>focusing</w:t>
      </w:r>
      <w:r w:rsidRPr="0047000F">
        <w:t xml:space="preserve"> on providing clean, safe, reliable, and affordable electric service to its more than 2.8 million customers. Serving customers and supporting a growing Georgia are key principles of the Company’s integrated resource planning process, and Georgia Power is committed to maintaining reliability and affordability for all customers. In this IRP, the Company proposes necessary investments in its generation fleet and transmission system to ensure Georgia Power can continue to serve its customers with the reliability and resiliency they deserve and expect. The Company is also proposing innovative solutions that will enhance the value of customer programs and enable System-wide control of distributed energy resources (“</w:t>
      </w:r>
      <w:proofErr w:type="spellStart"/>
      <w:r w:rsidRPr="0047000F">
        <w:t>DERs</w:t>
      </w:r>
      <w:proofErr w:type="spellEnd"/>
      <w:r w:rsidRPr="0047000F">
        <w:t>”), which will strengthen the capabilities of the electric system and help meet customers’ evolving energy needs. With the Commission’s constructive oversight, Georgia Power’s long-term integrated resource planning process—and specifically, the requests set forth in this 2025 IRP—will help ensure the Company can continue to reliably and economically meet the electric energy needs of its customers and Georgia, today and for decades to come</w:t>
      </w:r>
      <w:r>
        <w:t>.</w:t>
      </w:r>
    </w:p>
    <w:p w14:paraId="489C43AB" w14:textId="62126798" w:rsidR="00CE6D51" w:rsidRPr="00CE6D51" w:rsidRDefault="002A245B" w:rsidP="009F32CF">
      <w:pPr>
        <w:pStyle w:val="SSBodyText"/>
        <w:ind w:firstLine="360"/>
      </w:pPr>
      <w:r>
        <w:lastRenderedPageBreak/>
        <w:tab/>
      </w:r>
      <w:r w:rsidR="2CAC1646">
        <w:t>In addition</w:t>
      </w:r>
      <w:r w:rsidR="00CE6D51" w:rsidRPr="006F22ED">
        <w:t>, the Company’s DSM plan offers a well-balanced portfolio of residential and commercial energy efficiency and demand response programs to reduce the Company’s peak load and provide energy saving benefits to customers. The Company’s IRP and DSM Application</w:t>
      </w:r>
      <w:r w:rsidR="00124DF0">
        <w:t xml:space="preserve"> </w:t>
      </w:r>
      <w:r w:rsidR="00CE6D51" w:rsidRPr="006F22ED">
        <w:t xml:space="preserve">position the Company to effectively respond to a variety of economic, regulatory, and operational conditions in the coming years, and to continue to provide customers with clean, safe, reliable, and affordable electric service. For the reasons further set forth herein, the Company’s IRP and DSM Application should be </w:t>
      </w:r>
      <w:r w:rsidR="008A46BF">
        <w:t xml:space="preserve">approved </w:t>
      </w:r>
      <w:r w:rsidR="00CE6D51" w:rsidRPr="006F22ED">
        <w:t>by this Commission</w:t>
      </w:r>
      <w:r w:rsidR="00CE6D51">
        <w:t>.</w:t>
      </w:r>
    </w:p>
    <w:p w14:paraId="1A9D7FDA" w14:textId="77777777" w:rsidR="00E17FC1" w:rsidRPr="00312BD5" w:rsidRDefault="00774707" w:rsidP="00D930B7">
      <w:pPr>
        <w:pStyle w:val="Heading1"/>
      </w:pPr>
      <w:bookmarkStart w:id="2" w:name="_Toc202446756"/>
      <w:r w:rsidRPr="00312BD5">
        <w:t>PROCEDURAL HISTORY AND BACKGROUND</w:t>
      </w:r>
      <w:bookmarkEnd w:id="2"/>
    </w:p>
    <w:p w14:paraId="273E7CF4" w14:textId="7A0B58B1" w:rsidR="00E17FC1" w:rsidRPr="00813F3F" w:rsidRDefault="00774707" w:rsidP="00CE6D51">
      <w:pPr>
        <w:pStyle w:val="SSBodyText"/>
      </w:pPr>
      <w:r w:rsidRPr="00813F3F">
        <w:t xml:space="preserve">On January </w:t>
      </w:r>
      <w:r>
        <w:t>31</w:t>
      </w:r>
      <w:r w:rsidRPr="00813F3F">
        <w:t xml:space="preserve">, </w:t>
      </w:r>
      <w:r>
        <w:t>202</w:t>
      </w:r>
      <w:r w:rsidR="00104F94">
        <w:t>5</w:t>
      </w:r>
      <w:r w:rsidRPr="00813F3F">
        <w:t xml:space="preserve">, Georgia Power filed its application for approval of the </w:t>
      </w:r>
      <w:r>
        <w:t>202</w:t>
      </w:r>
      <w:r w:rsidR="00104F94">
        <w:t>5</w:t>
      </w:r>
      <w:r>
        <w:t xml:space="preserve"> </w:t>
      </w:r>
      <w:r w:rsidRPr="00813F3F">
        <w:t xml:space="preserve">IRP </w:t>
      </w:r>
      <w:r w:rsidR="00793CD2">
        <w:t xml:space="preserve">in Docket No. 56002 </w:t>
      </w:r>
      <w:r w:rsidRPr="00813F3F">
        <w:t>as required by O.C.G.A. § 46-3A-2</w:t>
      </w:r>
      <w:r>
        <w:t>.</w:t>
      </w:r>
      <w:r w:rsidRPr="00813F3F">
        <w:t xml:space="preserve"> </w:t>
      </w:r>
      <w:r>
        <w:t>(</w:t>
      </w:r>
      <w:r w:rsidRPr="00A57A81">
        <w:t xml:space="preserve">Tr. </w:t>
      </w:r>
      <w:r w:rsidR="002C651E" w:rsidRPr="00A57A81">
        <w:t>106</w:t>
      </w:r>
      <w:r w:rsidRPr="00A57A81">
        <w:t>.) In</w:t>
      </w:r>
      <w:r w:rsidRPr="00813F3F">
        <w:t xml:space="preserve"> conjunction with</w:t>
      </w:r>
      <w:r>
        <w:t xml:space="preserve"> </w:t>
      </w:r>
      <w:r w:rsidR="00793CD2">
        <w:t xml:space="preserve">this </w:t>
      </w:r>
      <w:r>
        <w:t>filing, Georgia Power</w:t>
      </w:r>
      <w:r w:rsidRPr="00813F3F">
        <w:t xml:space="preserve"> also filed its </w:t>
      </w:r>
      <w:r>
        <w:t>DSM Application</w:t>
      </w:r>
      <w:r w:rsidR="00793CD2">
        <w:t xml:space="preserve"> in Docket No. 56003</w:t>
      </w:r>
      <w:r>
        <w:t>. T</w:t>
      </w:r>
      <w:r w:rsidRPr="00813F3F">
        <w:t>he Commission issued a Procedural and Scheduling Order (“</w:t>
      </w:r>
      <w:proofErr w:type="spellStart"/>
      <w:r w:rsidRPr="00813F3F">
        <w:t>PSO</w:t>
      </w:r>
      <w:proofErr w:type="spellEnd"/>
      <w:r w:rsidRPr="00813F3F">
        <w:t>”)</w:t>
      </w:r>
      <w:r>
        <w:t xml:space="preserve"> for the IRP on </w:t>
      </w:r>
      <w:r w:rsidR="00104F94">
        <w:t>January 28, 2025</w:t>
      </w:r>
      <w:r w:rsidRPr="00813F3F">
        <w:t xml:space="preserve">. Pursuant to </w:t>
      </w:r>
      <w:r>
        <w:t>the</w:t>
      </w:r>
      <w:r w:rsidRPr="00813F3F">
        <w:t xml:space="preserve"> </w:t>
      </w:r>
      <w:proofErr w:type="spellStart"/>
      <w:r>
        <w:t>PSO</w:t>
      </w:r>
      <w:proofErr w:type="spellEnd"/>
      <w:r w:rsidRPr="00813F3F">
        <w:t xml:space="preserve">, on </w:t>
      </w:r>
      <w:r w:rsidR="00104F94">
        <w:t>February</w:t>
      </w:r>
      <w:r>
        <w:t xml:space="preserve"> </w:t>
      </w:r>
      <w:r w:rsidR="00104F94">
        <w:t>28</w:t>
      </w:r>
      <w:r>
        <w:t>, 202</w:t>
      </w:r>
      <w:r w:rsidR="00104F94">
        <w:t>5</w:t>
      </w:r>
      <w:r w:rsidRPr="00813F3F">
        <w:t xml:space="preserve">, Georgia Power filed the Direct Testimony </w:t>
      </w:r>
      <w:r>
        <w:t xml:space="preserve">of Jeffrey R. Grubb, </w:t>
      </w:r>
      <w:r w:rsidR="00104F94">
        <w:t xml:space="preserve">J. Randy Hubbert, M. Brandon Looney, Michael B. Robinson, and Francisco Valle </w:t>
      </w:r>
      <w:r>
        <w:t>in Docket No</w:t>
      </w:r>
      <w:r w:rsidR="00C8565D">
        <w:t>s</w:t>
      </w:r>
      <w:r>
        <w:t xml:space="preserve">. </w:t>
      </w:r>
      <w:r w:rsidR="00104F94">
        <w:t>56002</w:t>
      </w:r>
      <w:r w:rsidR="00C8565D">
        <w:t xml:space="preserve"> and 56003</w:t>
      </w:r>
      <w:r>
        <w:t>; the Direct Testimony of</w:t>
      </w:r>
      <w:r w:rsidR="00104F94">
        <w:t xml:space="preserve"> Jennifer S. McNelly and Robert W. Mitchell, III </w:t>
      </w:r>
      <w:r>
        <w:t xml:space="preserve">in Docket Nos. </w:t>
      </w:r>
      <w:r w:rsidR="00C8565D">
        <w:t>56002</w:t>
      </w:r>
      <w:r>
        <w:t xml:space="preserve"> and </w:t>
      </w:r>
      <w:r w:rsidR="00C8565D">
        <w:t>56003</w:t>
      </w:r>
      <w:r>
        <w:t>; and the Direct Testimony of</w:t>
      </w:r>
      <w:r w:rsidR="00C8565D">
        <w:t xml:space="preserve"> Dr. Ross </w:t>
      </w:r>
      <w:proofErr w:type="spellStart"/>
      <w:r w:rsidR="00C8565D">
        <w:t>Beppler</w:t>
      </w:r>
      <w:proofErr w:type="spellEnd"/>
      <w:r w:rsidR="00C8565D">
        <w:t>, Carley Goff, A. Wilson Mallard, and Andy Phillips in Docket Nos. 56002 and 56003</w:t>
      </w:r>
      <w:r>
        <w:t>.</w:t>
      </w:r>
      <w:r w:rsidRPr="00813F3F">
        <w:t xml:space="preserve"> </w:t>
      </w:r>
      <w:r w:rsidRPr="00D61C47">
        <w:rPr>
          <w:bCs/>
        </w:rPr>
        <w:t>(</w:t>
      </w:r>
      <w:r w:rsidRPr="00A57A81">
        <w:rPr>
          <w:bCs/>
        </w:rPr>
        <w:t xml:space="preserve">Tr. </w:t>
      </w:r>
      <w:r w:rsidR="002C651E" w:rsidRPr="00A57A81">
        <w:rPr>
          <w:bCs/>
        </w:rPr>
        <w:t>110</w:t>
      </w:r>
      <w:r w:rsidRPr="00A57A81">
        <w:rPr>
          <w:bCs/>
        </w:rPr>
        <w:t xml:space="preserve">, </w:t>
      </w:r>
      <w:r w:rsidR="002C651E" w:rsidRPr="00A57A81">
        <w:rPr>
          <w:bCs/>
        </w:rPr>
        <w:t>155</w:t>
      </w:r>
      <w:r w:rsidRPr="00A57A81">
        <w:rPr>
          <w:bCs/>
        </w:rPr>
        <w:t xml:space="preserve">, </w:t>
      </w:r>
      <w:r w:rsidR="002C651E" w:rsidRPr="00A57A81">
        <w:rPr>
          <w:bCs/>
        </w:rPr>
        <w:t>187</w:t>
      </w:r>
      <w:r w:rsidRPr="00D61C47">
        <w:rPr>
          <w:bCs/>
        </w:rPr>
        <w:t xml:space="preserve">.) </w:t>
      </w:r>
      <w:r w:rsidRPr="00813F3F">
        <w:t>Georgia Power presented its direct case to the Commission in Docket No</w:t>
      </w:r>
      <w:r>
        <w:t>s</w:t>
      </w:r>
      <w:r w:rsidRPr="00813F3F">
        <w:t xml:space="preserve">. </w:t>
      </w:r>
      <w:r w:rsidR="00613169">
        <w:t>56002</w:t>
      </w:r>
      <w:r>
        <w:t xml:space="preserve"> and </w:t>
      </w:r>
      <w:r w:rsidR="00613169">
        <w:t>56003</w:t>
      </w:r>
      <w:r>
        <w:t xml:space="preserve"> through hearings conducted </w:t>
      </w:r>
      <w:r w:rsidR="0045160B">
        <w:t>March 25</w:t>
      </w:r>
      <w:r>
        <w:t xml:space="preserve"> through </w:t>
      </w:r>
      <w:r w:rsidR="0045160B">
        <w:t>March 27</w:t>
      </w:r>
      <w:r>
        <w:t>, 202</w:t>
      </w:r>
      <w:r w:rsidR="0045160B">
        <w:t>5</w:t>
      </w:r>
      <w:r>
        <w:t xml:space="preserve"> (“Direct Hearing”)</w:t>
      </w:r>
      <w:r w:rsidRPr="00813F3F">
        <w:t>.</w:t>
      </w:r>
    </w:p>
    <w:p w14:paraId="76A76FEA" w14:textId="202D065B" w:rsidR="00C86F52" w:rsidRDefault="00C86F52" w:rsidP="00CE6D51">
      <w:pPr>
        <w:pStyle w:val="SSBodyText"/>
      </w:pPr>
      <w:r>
        <w:t xml:space="preserve">On May 2, 2025, </w:t>
      </w:r>
      <w:r w:rsidR="00EC7C51">
        <w:t xml:space="preserve">Intervenors filed testimony in Docket Nos. 56002 and 56003. </w:t>
      </w:r>
      <w:r w:rsidR="00F41D08">
        <w:t>Intervenor Advanced Power Alliance</w:t>
      </w:r>
      <w:r w:rsidR="00B45968">
        <w:t xml:space="preserve"> (“APA”)</w:t>
      </w:r>
      <w:r w:rsidR="00F41D08">
        <w:t xml:space="preserve"> filed the Testimony of Jeff Clark, Andy White, and Ryan Sanders in Docket Nos. 56002 and 56003. Intervenor Clean Energy Buyers Association (“CEBA”) </w:t>
      </w:r>
      <w:r w:rsidR="00F41D08">
        <w:lastRenderedPageBreak/>
        <w:t xml:space="preserve">filed the Testimony of Priya Barua and R. Brent Alderfer and the Testimony of Ted Thomas in Docket Nos. 56002 and 56003. Intervenor Capital Good Fund filed the </w:t>
      </w:r>
      <w:r w:rsidR="00B369C7">
        <w:t xml:space="preserve">Testimony of Russ Bates in Docket No. 56002. Intervenor Georgia WAND and Vote Solar filed the Testimony of Yunus </w:t>
      </w:r>
      <w:proofErr w:type="spellStart"/>
      <w:r w:rsidR="00B369C7">
        <w:t>Kinkhabwala</w:t>
      </w:r>
      <w:proofErr w:type="spellEnd"/>
      <w:r w:rsidR="00B369C7">
        <w:t xml:space="preserve"> in Docket Nos. 56002 and 56003. Intervenor Georgia Center for Energy Solutions (“GCES”) filed </w:t>
      </w:r>
      <w:r w:rsidR="00855A03">
        <w:t xml:space="preserve">the </w:t>
      </w:r>
      <w:r w:rsidR="00B369C7">
        <w:t xml:space="preserve">Testimony of Peter Hubbard in Docket Nos. </w:t>
      </w:r>
      <w:r w:rsidR="00855A03">
        <w:t>56002 and 56003. Intervenor Georgia Coalition of Local Governments</w:t>
      </w:r>
      <w:r w:rsidR="00B45968">
        <w:t xml:space="preserve"> (“</w:t>
      </w:r>
      <w:proofErr w:type="spellStart"/>
      <w:r w:rsidR="00B45968">
        <w:t>GCLG</w:t>
      </w:r>
      <w:proofErr w:type="spellEnd"/>
      <w:r w:rsidR="00B45968">
        <w:t>”)</w:t>
      </w:r>
      <w:r w:rsidR="00855A03">
        <w:t xml:space="preserve"> filed the Testimony of David A. Nifong and the Testimony of Blake F. </w:t>
      </w:r>
      <w:proofErr w:type="spellStart"/>
      <w:r w:rsidR="00855A03">
        <w:t>Richetta</w:t>
      </w:r>
      <w:proofErr w:type="spellEnd"/>
      <w:r w:rsidR="00855A03">
        <w:t xml:space="preserve"> in Docket Nos. 56002 and 56003. Intervenor Georgia Conservation Voters</w:t>
      </w:r>
      <w:r w:rsidR="00957B30">
        <w:t xml:space="preserve"> Education Fund (“</w:t>
      </w:r>
      <w:proofErr w:type="spellStart"/>
      <w:r w:rsidR="00957B30">
        <w:t>GCVEF</w:t>
      </w:r>
      <w:proofErr w:type="spellEnd"/>
      <w:r w:rsidR="00957B30">
        <w:t>”)</w:t>
      </w:r>
      <w:r w:rsidR="00855A03">
        <w:t xml:space="preserve"> filed the Testimony of Maria </w:t>
      </w:r>
      <w:proofErr w:type="spellStart"/>
      <w:r w:rsidR="00855A03">
        <w:t>Roumpani</w:t>
      </w:r>
      <w:proofErr w:type="spellEnd"/>
      <w:r w:rsidR="00855A03">
        <w:t xml:space="preserve"> in Docket Nos. 56002 and 56003.</w:t>
      </w:r>
      <w:r w:rsidR="0093075D">
        <w:t xml:space="preserve"> </w:t>
      </w:r>
      <w:r w:rsidR="00EC7C51">
        <w:t>Intervenor</w:t>
      </w:r>
      <w:r w:rsidR="0093075D">
        <w:t>s</w:t>
      </w:r>
      <w:r w:rsidR="00EC7C51">
        <w:t xml:space="preserve"> Georgia Interfaith Power &amp; Light (“</w:t>
      </w:r>
      <w:proofErr w:type="spellStart"/>
      <w:r w:rsidR="00EC7C51">
        <w:t>GIPL</w:t>
      </w:r>
      <w:proofErr w:type="spellEnd"/>
      <w:r w:rsidR="00EC7C51">
        <w:t xml:space="preserve">”) and </w:t>
      </w:r>
      <w:proofErr w:type="spellStart"/>
      <w:r w:rsidR="00EC7C51">
        <w:t>Southface</w:t>
      </w:r>
      <w:proofErr w:type="spellEnd"/>
      <w:r w:rsidR="00EC7C51">
        <w:t xml:space="preserve"> Energy Institute, Inc. (“</w:t>
      </w:r>
      <w:proofErr w:type="spellStart"/>
      <w:r w:rsidR="00EC7C51">
        <w:t>Southface</w:t>
      </w:r>
      <w:proofErr w:type="spellEnd"/>
      <w:r w:rsidR="00EC7C51">
        <w:t xml:space="preserve">”) filed the Testimony of Chelsea </w:t>
      </w:r>
      <w:proofErr w:type="spellStart"/>
      <w:r w:rsidR="00EC7C51">
        <w:t>Hotaling</w:t>
      </w:r>
      <w:proofErr w:type="spellEnd"/>
      <w:r w:rsidR="00EC7C51">
        <w:t>; the Testimony of Anjali Patel; and the Testimony of Stacy Sherwood in Docket Nos. 56002 and 56003.</w:t>
      </w:r>
      <w:r w:rsidR="0062131E">
        <w:t xml:space="preserve"> </w:t>
      </w:r>
      <w:r w:rsidR="0093075D">
        <w:t xml:space="preserve">Intervenor Georgia Solar Energy Association (“GA Solar”) filed the Testimony of Olivia </w:t>
      </w:r>
      <w:proofErr w:type="spellStart"/>
      <w:r w:rsidR="0093075D">
        <w:t>Amyette</w:t>
      </w:r>
      <w:proofErr w:type="spellEnd"/>
      <w:r w:rsidR="0093075D">
        <w:t xml:space="preserve">, Daniel Pertwee, and Adam Hoyt in Docket No. 56002. </w:t>
      </w:r>
      <w:r w:rsidR="0062131E">
        <w:t>Intervenor Georgia Solar Energy Industries Association, Inc. (“</w:t>
      </w:r>
      <w:proofErr w:type="spellStart"/>
      <w:r w:rsidR="0062131E">
        <w:t>GSEIA</w:t>
      </w:r>
      <w:proofErr w:type="spellEnd"/>
      <w:r w:rsidR="0062131E">
        <w:t xml:space="preserve">”) filed the Testimony of Ani </w:t>
      </w:r>
      <w:proofErr w:type="spellStart"/>
      <w:r w:rsidR="0062131E">
        <w:t>Backa</w:t>
      </w:r>
      <w:proofErr w:type="spellEnd"/>
      <w:r w:rsidR="0062131E">
        <w:t>, Tully Blalock, and Jonathan Roberts in Do</w:t>
      </w:r>
      <w:r w:rsidR="0093075D">
        <w:t>cket Nos. 56002 and 56003. Intervenors Natural Resources Defense Council (“NRDC”), Sierra Club, and Southern Alliance for Clean Energy (“</w:t>
      </w:r>
      <w:proofErr w:type="spellStart"/>
      <w:r w:rsidR="0093075D">
        <w:t>SACE</w:t>
      </w:r>
      <w:proofErr w:type="spellEnd"/>
      <w:r w:rsidR="0093075D">
        <w:t>”)</w:t>
      </w:r>
      <w:r w:rsidR="00957B30">
        <w:t xml:space="preserve"> (collectively, </w:t>
      </w:r>
      <w:r w:rsidR="00F30C38">
        <w:t>“</w:t>
      </w:r>
      <w:r w:rsidR="00957B30">
        <w:t xml:space="preserve">NRDC, Sierra Club, &amp; </w:t>
      </w:r>
      <w:proofErr w:type="spellStart"/>
      <w:r w:rsidR="00957B30">
        <w:t>SACE</w:t>
      </w:r>
      <w:proofErr w:type="spellEnd"/>
      <w:r w:rsidR="00957B30">
        <w:t>”)</w:t>
      </w:r>
      <w:r w:rsidR="0093075D">
        <w:t xml:space="preserve"> filed the Testimony of Derek </w:t>
      </w:r>
      <w:proofErr w:type="spellStart"/>
      <w:r w:rsidR="0093075D">
        <w:t>Stenclik</w:t>
      </w:r>
      <w:proofErr w:type="spellEnd"/>
      <w:r w:rsidR="0093075D">
        <w:t xml:space="preserve">; the Testimony of </w:t>
      </w:r>
      <w:r w:rsidR="00BD3AFD">
        <w:t xml:space="preserve">Matthew </w:t>
      </w:r>
      <w:proofErr w:type="spellStart"/>
      <w:r w:rsidR="00BD3AFD">
        <w:t>Richwine</w:t>
      </w:r>
      <w:proofErr w:type="spellEnd"/>
      <w:r w:rsidR="00BD3AFD">
        <w:t>; and the Testimony of AJ Goulding in Docket Nos. 56002 and 56003. Intervenor Southern Renewable Energy Association (“</w:t>
      </w:r>
      <w:proofErr w:type="spellStart"/>
      <w:r w:rsidR="00BD3AFD">
        <w:t>SREA</w:t>
      </w:r>
      <w:proofErr w:type="spellEnd"/>
      <w:r w:rsidR="00BD3AFD">
        <w:t>”) filed the Testimony of Alejandro Palomino in Docket No. 56002. Intervenor Walmart Inc. (“Walmart”) filed the Testimony of Lisa V. Perry in Docket Nos. 56002 and 56003.</w:t>
      </w:r>
    </w:p>
    <w:p w14:paraId="43A449CF" w14:textId="2BC64D17" w:rsidR="00E17FC1" w:rsidRPr="00D21063" w:rsidRDefault="00774707" w:rsidP="00CE6D51">
      <w:pPr>
        <w:pStyle w:val="SSBodyText"/>
      </w:pPr>
      <w:r w:rsidRPr="00D42CFC">
        <w:t xml:space="preserve">On May </w:t>
      </w:r>
      <w:r w:rsidR="00C86F52" w:rsidRPr="00D42CFC">
        <w:t>5</w:t>
      </w:r>
      <w:r w:rsidRPr="00D42CFC">
        <w:t>, 202</w:t>
      </w:r>
      <w:r w:rsidR="00323B6E" w:rsidRPr="00D42CFC">
        <w:t>5</w:t>
      </w:r>
      <w:r w:rsidRPr="00D42CFC">
        <w:t xml:space="preserve">, the Commission’s </w:t>
      </w:r>
      <w:r w:rsidR="000D1B44">
        <w:t>Public Interest Advocacy Staff (“</w:t>
      </w:r>
      <w:r w:rsidRPr="00D42CFC">
        <w:t>PIA Staf</w:t>
      </w:r>
      <w:r w:rsidR="000D1B44">
        <w:t>f”)</w:t>
      </w:r>
      <w:r w:rsidRPr="00D42CFC">
        <w:t xml:space="preserve"> filed the Testimony of </w:t>
      </w:r>
      <w:r w:rsidR="007B43F8" w:rsidRPr="00D42CFC">
        <w:t xml:space="preserve">Robert L. </w:t>
      </w:r>
      <w:proofErr w:type="spellStart"/>
      <w:r w:rsidR="007B43F8" w:rsidRPr="00D42CFC">
        <w:t>Trokey</w:t>
      </w:r>
      <w:proofErr w:type="spellEnd"/>
      <w:r w:rsidR="007B43F8" w:rsidRPr="00D42CFC">
        <w:t xml:space="preserve">, Dylan A. </w:t>
      </w:r>
      <w:proofErr w:type="spellStart"/>
      <w:r w:rsidR="007B43F8" w:rsidRPr="00D42CFC">
        <w:t>Drugan</w:t>
      </w:r>
      <w:proofErr w:type="spellEnd"/>
      <w:r w:rsidR="007B43F8" w:rsidRPr="00D42CFC">
        <w:t>, and Karan A. Pol</w:t>
      </w:r>
      <w:r w:rsidR="003A20B1">
        <w:t xml:space="preserve">; </w:t>
      </w:r>
      <w:r w:rsidR="00DC23C2">
        <w:t xml:space="preserve">the Testimony of Tom </w:t>
      </w:r>
      <w:r w:rsidR="00DC23C2">
        <w:lastRenderedPageBreak/>
        <w:t>Newsome</w:t>
      </w:r>
      <w:r w:rsidR="008F41BE">
        <w:t xml:space="preserve">, Philip </w:t>
      </w:r>
      <w:proofErr w:type="spellStart"/>
      <w:r w:rsidR="008F41BE">
        <w:t>Hayet</w:t>
      </w:r>
      <w:proofErr w:type="spellEnd"/>
      <w:r w:rsidR="008F41BE">
        <w:t xml:space="preserve">, Anthony </w:t>
      </w:r>
      <w:proofErr w:type="spellStart"/>
      <w:r w:rsidR="008F41BE">
        <w:t>Sandonato</w:t>
      </w:r>
      <w:proofErr w:type="spellEnd"/>
      <w:r w:rsidR="008F41BE">
        <w:t>, and Leah Wellborn;</w:t>
      </w:r>
      <w:r w:rsidR="007B74F1" w:rsidRPr="00D42CFC">
        <w:t xml:space="preserve"> </w:t>
      </w:r>
      <w:r w:rsidR="006B0F30" w:rsidRPr="00D42CFC">
        <w:t>the Testimony of Jamie Barber, Nick Cooper, and Richard F. Spellman</w:t>
      </w:r>
      <w:r w:rsidR="00545249">
        <w:t xml:space="preserve">; </w:t>
      </w:r>
      <w:r w:rsidR="00C91CC0">
        <w:t xml:space="preserve">the </w:t>
      </w:r>
      <w:r w:rsidR="00C91CC0" w:rsidRPr="00D42CFC">
        <w:t xml:space="preserve">Testimony of </w:t>
      </w:r>
      <w:r w:rsidR="007B74F1" w:rsidRPr="00D42CFC">
        <w:t xml:space="preserve">Jamie Barber, John </w:t>
      </w:r>
      <w:proofErr w:type="spellStart"/>
      <w:r w:rsidR="007B74F1" w:rsidRPr="00D42CFC">
        <w:t>Kaduk</w:t>
      </w:r>
      <w:proofErr w:type="spellEnd"/>
      <w:r w:rsidR="007B74F1" w:rsidRPr="00D42CFC">
        <w:t xml:space="preserve">, and Jeffrey D. Bower; the Testimony of Douglas A. Smith and Sasikumar Kannan; the Testimony of Michael S. Goggin; the Testimony of </w:t>
      </w:r>
      <w:r w:rsidR="00D154E7" w:rsidRPr="00D42CFC">
        <w:t>Robert R. Stephens</w:t>
      </w:r>
      <w:r w:rsidR="00D154E7">
        <w:t>;</w:t>
      </w:r>
      <w:r w:rsidR="007B74F1" w:rsidRPr="00D42CFC">
        <w:t xml:space="preserve"> and the Testimony of Ralph C. Smith and Jason R. Forsythe in Docket Nos. 56002 and 56003. (</w:t>
      </w:r>
      <w:r w:rsidR="007B74F1" w:rsidRPr="000F4445">
        <w:t xml:space="preserve">Tr. </w:t>
      </w:r>
      <w:r w:rsidR="00A20B8C" w:rsidRPr="000F4445">
        <w:t>141</w:t>
      </w:r>
      <w:r w:rsidR="00F74E55">
        <w:t>8</w:t>
      </w:r>
      <w:r w:rsidR="00A20B8C" w:rsidRPr="000F4445">
        <w:t>, 160</w:t>
      </w:r>
      <w:r w:rsidR="002829A1">
        <w:t>5</w:t>
      </w:r>
      <w:r w:rsidR="00A20B8C" w:rsidRPr="000F4445">
        <w:t>, 185</w:t>
      </w:r>
      <w:r w:rsidR="00C91CC0">
        <w:t>3</w:t>
      </w:r>
      <w:r w:rsidR="00A20B8C" w:rsidRPr="000F4445">
        <w:t>,</w:t>
      </w:r>
      <w:r w:rsidR="00C91CC0">
        <w:t xml:space="preserve"> </w:t>
      </w:r>
      <w:r w:rsidR="00582455">
        <w:t>1912,</w:t>
      </w:r>
      <w:r w:rsidR="00C6390E">
        <w:t xml:space="preserve"> 2042, 2068</w:t>
      </w:r>
      <w:r w:rsidR="00A20B8C" w:rsidRPr="000F4445">
        <w:t>, 223</w:t>
      </w:r>
      <w:r w:rsidR="00B346E4">
        <w:t>3</w:t>
      </w:r>
      <w:r w:rsidR="00A20B8C" w:rsidRPr="000F4445">
        <w:t>, 251</w:t>
      </w:r>
      <w:r w:rsidR="00537B49">
        <w:t>7</w:t>
      </w:r>
      <w:r w:rsidR="00881382" w:rsidRPr="00A20B8C">
        <w:t>.</w:t>
      </w:r>
      <w:r w:rsidR="007B74F1" w:rsidRPr="00A20B8C">
        <w:t>)</w:t>
      </w:r>
      <w:r w:rsidR="002D6048" w:rsidRPr="00D42CFC">
        <w:t xml:space="preserve"> </w:t>
      </w:r>
      <w:r w:rsidRPr="00D42CFC">
        <w:t>Hearings</w:t>
      </w:r>
      <w:r w:rsidRPr="00707EA7">
        <w:t xml:space="preserve"> regarding</w:t>
      </w:r>
      <w:r w:rsidRPr="00813F3F">
        <w:t xml:space="preserve"> the </w:t>
      </w:r>
      <w:r>
        <w:t>D</w:t>
      </w:r>
      <w:r w:rsidRPr="00813F3F">
        <w:t xml:space="preserve">irect </w:t>
      </w:r>
      <w:r>
        <w:t>T</w:t>
      </w:r>
      <w:r w:rsidRPr="00813F3F">
        <w:t xml:space="preserve">estimony of PIA Staff and </w:t>
      </w:r>
      <w:r>
        <w:t>Intervenors</w:t>
      </w:r>
      <w:r w:rsidRPr="00813F3F">
        <w:t xml:space="preserve"> in Docket No</w:t>
      </w:r>
      <w:r>
        <w:t>s</w:t>
      </w:r>
      <w:r w:rsidRPr="00813F3F">
        <w:t xml:space="preserve">. </w:t>
      </w:r>
      <w:r w:rsidR="00A54332">
        <w:t>56002</w:t>
      </w:r>
      <w:r>
        <w:t xml:space="preserve"> and</w:t>
      </w:r>
      <w:r w:rsidR="00A54332">
        <w:t xml:space="preserve"> 56003</w:t>
      </w:r>
      <w:r w:rsidRPr="00813F3F">
        <w:t xml:space="preserve"> were held May </w:t>
      </w:r>
      <w:r>
        <w:t>2</w:t>
      </w:r>
      <w:r w:rsidR="00A54332">
        <w:t>7</w:t>
      </w:r>
      <w:r>
        <w:t xml:space="preserve"> through May 2</w:t>
      </w:r>
      <w:r w:rsidR="00A54332">
        <w:t>9</w:t>
      </w:r>
      <w:r w:rsidRPr="00813F3F">
        <w:t xml:space="preserve">, </w:t>
      </w:r>
      <w:r>
        <w:t>202</w:t>
      </w:r>
      <w:r w:rsidR="00A54332">
        <w:t>5</w:t>
      </w:r>
      <w:r>
        <w:t xml:space="preserve"> (“Staff/Intervenor Hearing”)</w:t>
      </w:r>
      <w:r w:rsidRPr="00813F3F">
        <w:t>.</w:t>
      </w:r>
    </w:p>
    <w:p w14:paraId="5A735FDF" w14:textId="1242F101" w:rsidR="00E17FC1" w:rsidRPr="00813F3F" w:rsidRDefault="00774707" w:rsidP="00CE6D51">
      <w:pPr>
        <w:pStyle w:val="SSBodyText"/>
      </w:pPr>
      <w:r w:rsidRPr="00813F3F">
        <w:t xml:space="preserve">On </w:t>
      </w:r>
      <w:r w:rsidRPr="00680BA6">
        <w:t>June</w:t>
      </w:r>
      <w:r w:rsidR="00881382" w:rsidRPr="00680BA6">
        <w:t xml:space="preserve"> 9</w:t>
      </w:r>
      <w:r w:rsidRPr="00680BA6">
        <w:t>, 202</w:t>
      </w:r>
      <w:r w:rsidR="00B77980" w:rsidRPr="00680BA6">
        <w:t>5</w:t>
      </w:r>
      <w:r>
        <w:t>,</w:t>
      </w:r>
      <w:r w:rsidRPr="00813F3F">
        <w:t xml:space="preserve"> the Company filed the Rebuttal Testimony </w:t>
      </w:r>
      <w:r w:rsidRPr="00680BA6">
        <w:t xml:space="preserve">of Jeffrey R. Grubb, </w:t>
      </w:r>
      <w:r w:rsidR="00881382" w:rsidRPr="00680BA6">
        <w:t xml:space="preserve">J. Randy Hubbert, M. Brandon Looney, Michael B. Robinson, and Francisco Valle in Docket Nos. 56002 and 56003, and the Rebuttal Testimony of Dr. Ross </w:t>
      </w:r>
      <w:proofErr w:type="spellStart"/>
      <w:r w:rsidR="00881382" w:rsidRPr="00680BA6">
        <w:t>Beppler</w:t>
      </w:r>
      <w:proofErr w:type="spellEnd"/>
      <w:r w:rsidR="00881382" w:rsidRPr="00680BA6">
        <w:t xml:space="preserve">, Carley Goff, </w:t>
      </w:r>
      <w:r w:rsidR="00EE10AA">
        <w:t xml:space="preserve">and </w:t>
      </w:r>
      <w:r w:rsidR="00881382" w:rsidRPr="00680BA6">
        <w:t>A. Wilson Mallard,</w:t>
      </w:r>
      <w:r w:rsidR="00EE10AA">
        <w:t xml:space="preserve"> </w:t>
      </w:r>
      <w:r w:rsidR="00881382" w:rsidRPr="00680BA6">
        <w:t>in Docket Nos. 56002 and 56003. (</w:t>
      </w:r>
      <w:r w:rsidR="00D50BB6">
        <w:t>Tr. 4713, 5047</w:t>
      </w:r>
      <w:r w:rsidR="00881382" w:rsidRPr="00680BA6">
        <w:t>.)</w:t>
      </w:r>
      <w:r w:rsidR="009E5C7D">
        <w:t xml:space="preserve"> Hearings regarding the Rebuttal Testimony of Georgia Power in Docket Nos. 56002 and 56003 were held June 23 through June 24, 2025 (“Rebuttal Hearing”).</w:t>
      </w:r>
    </w:p>
    <w:p w14:paraId="6E8A284F" w14:textId="633D9470" w:rsidR="00E17FC1" w:rsidRPr="00DA5817" w:rsidRDefault="00774707" w:rsidP="00BC37EC">
      <w:pPr>
        <w:pStyle w:val="Heading1"/>
      </w:pPr>
      <w:bookmarkStart w:id="3" w:name="_Toc202446757"/>
      <w:r w:rsidRPr="000C1827">
        <w:t>ARGUMENT</w:t>
      </w:r>
      <w:bookmarkEnd w:id="3"/>
    </w:p>
    <w:p w14:paraId="4DBD8908" w14:textId="7101B5B4" w:rsidR="00B903B0" w:rsidRDefault="00BC17E6" w:rsidP="00BC17E6">
      <w:pPr>
        <w:pStyle w:val="BodyText"/>
        <w:widowControl/>
        <w:spacing w:after="0" w:line="480" w:lineRule="auto"/>
        <w:jc w:val="both"/>
        <w:rPr>
          <w:lang w:eastAsia="en-US"/>
        </w:rPr>
      </w:pPr>
      <w:r w:rsidRPr="004B4080">
        <w:t xml:space="preserve">The 2025 IRP establishes a comprehensive strategy to meet the forecasted energy needs of customers and </w:t>
      </w:r>
      <w:r w:rsidR="001758CA" w:rsidRPr="004B4080">
        <w:t>the s</w:t>
      </w:r>
      <w:r w:rsidRPr="004B4080">
        <w:t xml:space="preserve">tate as it continues </w:t>
      </w:r>
      <w:r w:rsidR="00672A36">
        <w:t xml:space="preserve">to </w:t>
      </w:r>
      <w:r w:rsidRPr="004B4080">
        <w:t>experien</w:t>
      </w:r>
      <w:r w:rsidR="001758CA" w:rsidRPr="004B4080">
        <w:t>c</w:t>
      </w:r>
      <w:r w:rsidR="00672A36">
        <w:t>e</w:t>
      </w:r>
      <w:r w:rsidRPr="004B4080">
        <w:t xml:space="preserve"> extraordinary growth</w:t>
      </w:r>
      <w:r w:rsidRPr="001758CA">
        <w:t>. The Company proposes a reliable, economical, and diverse resource mix to meet Georgia’s growing energy needs and provide clean, safe, reliable, and affordable electric service for its customers</w:t>
      </w:r>
      <w:r w:rsidR="00940821">
        <w:t xml:space="preserve">, </w:t>
      </w:r>
      <w:r w:rsidR="00940821" w:rsidRPr="00940821">
        <w:t>all in a manner consistent with</w:t>
      </w:r>
      <w:r w:rsidRPr="001758CA">
        <w:t xml:space="preserve"> the public interest. </w:t>
      </w:r>
      <w:r w:rsidR="000C1827" w:rsidRPr="001758CA">
        <w:t>O.C.G.A. § 46-3A-1(7)</w:t>
      </w:r>
      <w:r w:rsidR="00AF49D5" w:rsidRPr="001758CA">
        <w:t xml:space="preserve">. </w:t>
      </w:r>
      <w:r w:rsidR="001758CA" w:rsidRPr="001758CA">
        <w:t xml:space="preserve">Through the 2025 IRP, Georgia Power reasonably forecasts customer demand and proposes cost effective solutions </w:t>
      </w:r>
      <w:r w:rsidR="006C4294">
        <w:t>including</w:t>
      </w:r>
      <w:r w:rsidR="006C4294" w:rsidRPr="001758CA">
        <w:t xml:space="preserve"> </w:t>
      </w:r>
      <w:r w:rsidR="006D27A7">
        <w:t xml:space="preserve">unit extensions and </w:t>
      </w:r>
      <w:r w:rsidR="001758CA" w:rsidRPr="001758CA">
        <w:t>upgrades to resources on the Georgia Power System to help address resulting capacity needs.</w:t>
      </w:r>
    </w:p>
    <w:p w14:paraId="052040E4" w14:textId="1BE77BF1" w:rsidR="00E17FC1" w:rsidRPr="009E3CC5" w:rsidRDefault="00AD0FBB" w:rsidP="00EF6958">
      <w:pPr>
        <w:pStyle w:val="Heading2"/>
      </w:pPr>
      <w:bookmarkStart w:id="4" w:name="_Toc202446758"/>
      <w:r w:rsidRPr="00336199">
        <w:rPr>
          <w:bCs/>
        </w:rPr>
        <w:lastRenderedPageBreak/>
        <w:t xml:space="preserve">The </w:t>
      </w:r>
      <w:r w:rsidR="00AC09F2">
        <w:t xml:space="preserve">Commission Should Approve </w:t>
      </w:r>
      <w:r w:rsidR="00BC37EC">
        <w:t>t</w:t>
      </w:r>
      <w:r w:rsidR="00AC09F2">
        <w:t>he Company’s Supply</w:t>
      </w:r>
      <w:r w:rsidR="00884617">
        <w:t>-</w:t>
      </w:r>
      <w:r w:rsidR="00AC09F2">
        <w:t xml:space="preserve">Side </w:t>
      </w:r>
      <w:r w:rsidR="000C1827">
        <w:t>Plan</w:t>
      </w:r>
      <w:r>
        <w:t>.</w:t>
      </w:r>
      <w:bookmarkEnd w:id="4"/>
    </w:p>
    <w:p w14:paraId="5F9E75CD" w14:textId="28501412" w:rsidR="00A809CA" w:rsidRPr="004B4080" w:rsidRDefault="00AC09F2" w:rsidP="00A809CA">
      <w:pPr>
        <w:pStyle w:val="Heading3"/>
      </w:pPr>
      <w:bookmarkStart w:id="5" w:name="_Toc202446759"/>
      <w:r w:rsidRPr="00AF0A30">
        <w:t xml:space="preserve">The Commission should approve the February 2025 Load and Energy Forecast as filed in </w:t>
      </w:r>
      <w:r w:rsidR="006C4294">
        <w:t xml:space="preserve">Georgia Power’s </w:t>
      </w:r>
      <w:r w:rsidRPr="00AF0A30">
        <w:t>Rebuttal Testimony</w:t>
      </w:r>
      <w:r w:rsidR="00774707" w:rsidRPr="00AF0A30">
        <w:t>.</w:t>
      </w:r>
      <w:bookmarkEnd w:id="5"/>
    </w:p>
    <w:p w14:paraId="4F64D9C8" w14:textId="385B0361" w:rsidR="00520787" w:rsidRDefault="00520787" w:rsidP="00747479">
      <w:pPr>
        <w:pStyle w:val="SSBodyText"/>
        <w:rPr>
          <w:lang w:eastAsia="en-US"/>
        </w:rPr>
      </w:pPr>
      <w:r w:rsidRPr="19DCCD72">
        <w:rPr>
          <w:lang w:eastAsia="en-US"/>
        </w:rPr>
        <w:t>The Commission should approve the</w:t>
      </w:r>
      <w:r>
        <w:t xml:space="preserve"> February 2025 Load and Energy Forecast as reasonable and appropriate in this case. </w:t>
      </w:r>
      <w:r w:rsidR="4DC9404F">
        <w:t xml:space="preserve">As discussed below, </w:t>
      </w:r>
      <w:r>
        <w:t xml:space="preserve">Georgia Power presented significant evidence demonstrating that </w:t>
      </w:r>
      <w:r w:rsidR="1323DB5B">
        <w:t>its Load and Energy F</w:t>
      </w:r>
      <w:r>
        <w:t>orecast is based on statistically sound methodology, informed by the most recent economic trends since the 2023 IRP Update</w:t>
      </w:r>
      <w:r w:rsidR="001A6282">
        <w:t xml:space="preserve"> and the initial filing of the 2025 IRP</w:t>
      </w:r>
      <w:r w:rsidR="007A0E02">
        <w:t xml:space="preserve">, and </w:t>
      </w:r>
      <w:r>
        <w:t xml:space="preserve">employs proven methods to evaluate the probability, level, and timing in which projected loads will materialize. </w:t>
      </w:r>
      <w:r w:rsidRPr="19DCCD72">
        <w:rPr>
          <w:lang w:eastAsia="en-US"/>
        </w:rPr>
        <w:t>To account for large loads in the Load and Energy Forecast, the Company appropriately adjusts the organic forecast using the Load Realization Model (“</w:t>
      </w:r>
      <w:proofErr w:type="spellStart"/>
      <w:r w:rsidRPr="19DCCD72">
        <w:rPr>
          <w:lang w:eastAsia="en-US"/>
        </w:rPr>
        <w:t>LRM</w:t>
      </w:r>
      <w:proofErr w:type="spellEnd"/>
      <w:r w:rsidRPr="19DCCD72">
        <w:rPr>
          <w:lang w:eastAsia="en-US"/>
        </w:rPr>
        <w:t>”), which mirrors the approach employed in the 2023 IRP Update</w:t>
      </w:r>
      <w:r w:rsidR="00F65582" w:rsidRPr="19DCCD72">
        <w:rPr>
          <w:lang w:eastAsia="en-US"/>
        </w:rPr>
        <w:t>.</w:t>
      </w:r>
      <w:r w:rsidR="5E718743" w:rsidRPr="19DCCD72">
        <w:rPr>
          <w:lang w:eastAsia="en-US"/>
        </w:rPr>
        <w:t xml:space="preserve"> (Tr. 124.)</w:t>
      </w:r>
    </w:p>
    <w:p w14:paraId="6B96D95E" w14:textId="02F48FBC" w:rsidR="00520787" w:rsidRPr="00520787" w:rsidRDefault="00520787" w:rsidP="00747479">
      <w:pPr>
        <w:pStyle w:val="SSBodyText"/>
      </w:pPr>
      <w:r w:rsidRPr="00520787">
        <w:t>Using Commission-approved long- and short-term methodologies, the Company’s Load and Energy Forecast that was filed initially in this docket projected continued extraordinary customer load growth, far exceeding the demand projected in both the 2022 IRP and the 2023 IRP Update. (Tr. 122</w:t>
      </w:r>
      <w:r w:rsidR="00EA46A4">
        <w:t>.</w:t>
      </w:r>
      <w:r w:rsidRPr="00520787">
        <w:t xml:space="preserve">) In this filing, the Company projected an increase </w:t>
      </w:r>
      <w:r w:rsidR="4585F78B">
        <w:t>in demand</w:t>
      </w:r>
      <w:r>
        <w:t xml:space="preserve"> </w:t>
      </w:r>
      <w:r w:rsidRPr="00520787">
        <w:t>of more than 2,200</w:t>
      </w:r>
      <w:r w:rsidR="00802D04">
        <w:t xml:space="preserve"> megawatts (“</w:t>
      </w:r>
      <w:r w:rsidRPr="00520787">
        <w:t>MW</w:t>
      </w:r>
      <w:r w:rsidR="00802D04">
        <w:t>”)</w:t>
      </w:r>
      <w:r w:rsidRPr="00520787">
        <w:t xml:space="preserve"> </w:t>
      </w:r>
      <w:r w:rsidR="00F9753E">
        <w:t>through 2031</w:t>
      </w:r>
      <w:r w:rsidR="000D2B07">
        <w:t xml:space="preserve"> </w:t>
      </w:r>
      <w:r w:rsidRPr="00520787">
        <w:t xml:space="preserve">compared to the 2023 IRP Update. The substantial and empirical evidence associated with these projections consistently demonstrate that large loads are coming to the </w:t>
      </w:r>
      <w:r w:rsidR="007A0E02">
        <w:t>s</w:t>
      </w:r>
      <w:r w:rsidR="007A0E02" w:rsidRPr="00520787">
        <w:t xml:space="preserve">tate </w:t>
      </w:r>
      <w:r w:rsidRPr="00520787">
        <w:t xml:space="preserve">of Georgia, a fact that </w:t>
      </w:r>
      <w:r w:rsidR="00E52132">
        <w:t xml:space="preserve">PIA </w:t>
      </w:r>
      <w:r w:rsidRPr="00520787">
        <w:t>Staff witnesses do not dispute. (Tr. 1563 (“We certainly don’t want to suggest that these large load projects or economic development is not coming to Georgia.”)</w:t>
      </w:r>
      <w:r w:rsidR="00E05BD5">
        <w:t>.</w:t>
      </w:r>
      <w:r w:rsidRPr="00520787">
        <w:t>)</w:t>
      </w:r>
    </w:p>
    <w:p w14:paraId="07374D43" w14:textId="5A457454" w:rsidR="000F4445" w:rsidRPr="004B4080" w:rsidRDefault="005C2FC4" w:rsidP="00747479">
      <w:pPr>
        <w:pStyle w:val="SSBodyText"/>
        <w:rPr>
          <w:b/>
          <w:bCs/>
          <w:lang w:eastAsia="en-US"/>
        </w:rPr>
      </w:pPr>
      <w:r>
        <w:t xml:space="preserve">PIA </w:t>
      </w:r>
      <w:r w:rsidR="00520787" w:rsidRPr="00520787">
        <w:t xml:space="preserve">Staff and Intervenors nevertheless criticize the Company’s Load and Energy Forecast, placing undue emphasis on load removals </w:t>
      </w:r>
      <w:r w:rsidR="00B23C51">
        <w:t xml:space="preserve">without considering </w:t>
      </w:r>
      <w:r w:rsidR="007E3568">
        <w:t xml:space="preserve">load </w:t>
      </w:r>
      <w:r w:rsidR="00B23C51">
        <w:t>additions</w:t>
      </w:r>
      <w:r w:rsidR="007E3568">
        <w:t xml:space="preserve"> </w:t>
      </w:r>
      <w:r w:rsidR="00520787" w:rsidRPr="00520787">
        <w:t xml:space="preserve">and inappropriately extrapolating data from the Company’s quarterly large load reports. The Company’s Load and Energy Forecast uses up-to-date information informed by discussions with actual and potential </w:t>
      </w:r>
      <w:r w:rsidR="00520787" w:rsidRPr="00520787">
        <w:lastRenderedPageBreak/>
        <w:t xml:space="preserve">customers as well as the Company’s experience with data center customers. Accordingly, the Company’s Load </w:t>
      </w:r>
      <w:r w:rsidR="00520787" w:rsidRPr="004B4080">
        <w:t>and Energy Forecast should be adopted.</w:t>
      </w:r>
    </w:p>
    <w:p w14:paraId="6F9BCAAB" w14:textId="655E259E" w:rsidR="000F4445" w:rsidRPr="00C961BB" w:rsidRDefault="00E52132" w:rsidP="00FF7F2D">
      <w:pPr>
        <w:pStyle w:val="Heading4"/>
      </w:pPr>
      <w:r>
        <w:t xml:space="preserve">PIA </w:t>
      </w:r>
      <w:r w:rsidR="000F4445" w:rsidRPr="00FF7F2D">
        <w:t>Staff and Intervenors inappropriately emphasize load removals from Georgia Power’s quarterly large load reports</w:t>
      </w:r>
      <w:r w:rsidR="00BC37EC">
        <w:t xml:space="preserve"> without considering load additions</w:t>
      </w:r>
      <w:r w:rsidR="000F4445" w:rsidRPr="00C961BB">
        <w:t>.</w:t>
      </w:r>
    </w:p>
    <w:p w14:paraId="51F474BB" w14:textId="1E57DBE2" w:rsidR="00520787" w:rsidRPr="000F4445" w:rsidRDefault="00E76AA6" w:rsidP="00747479">
      <w:pPr>
        <w:pStyle w:val="SSBodyText"/>
      </w:pPr>
      <w:r>
        <w:t xml:space="preserve">PIA </w:t>
      </w:r>
      <w:r w:rsidR="00520787" w:rsidRPr="000F4445">
        <w:t xml:space="preserve">Staff and certain Intervenors focus on the removals of load from the Company’s </w:t>
      </w:r>
      <w:proofErr w:type="spellStart"/>
      <w:r w:rsidR="00520787" w:rsidRPr="000F4445">
        <w:t>LRM</w:t>
      </w:r>
      <w:proofErr w:type="spellEnd"/>
      <w:r w:rsidR="00520787" w:rsidRPr="000F4445">
        <w:t xml:space="preserve">, arguing that the Company is overstating the load that is coming to Georgia. Specifically, </w:t>
      </w:r>
      <w:r>
        <w:t xml:space="preserve">PIA </w:t>
      </w:r>
      <w:r w:rsidR="00520787" w:rsidRPr="000F4445">
        <w:t xml:space="preserve">Staff’s panel of Witnesses </w:t>
      </w:r>
      <w:proofErr w:type="spellStart"/>
      <w:r w:rsidR="00520787" w:rsidRPr="000F4445">
        <w:t>Trokey</w:t>
      </w:r>
      <w:proofErr w:type="spellEnd"/>
      <w:r w:rsidR="00520787" w:rsidRPr="000F4445">
        <w:t xml:space="preserve">, </w:t>
      </w:r>
      <w:proofErr w:type="spellStart"/>
      <w:r w:rsidR="00520787" w:rsidRPr="000F4445">
        <w:t>Drugan</w:t>
      </w:r>
      <w:proofErr w:type="spellEnd"/>
      <w:r w:rsidR="00520787" w:rsidRPr="000F4445">
        <w:t xml:space="preserve">, and Pol argue that the large load pipeline documents “numerous project removals and load reductions” and calls for modification to the assumptions of the </w:t>
      </w:r>
      <w:proofErr w:type="spellStart"/>
      <w:r w:rsidR="00520787" w:rsidRPr="000F4445">
        <w:t>LRM</w:t>
      </w:r>
      <w:proofErr w:type="spellEnd"/>
      <w:r w:rsidR="00520787" w:rsidRPr="000F4445">
        <w:t xml:space="preserve"> in light of the “significant rate of project removals and net load reductions.” (</w:t>
      </w:r>
      <w:r w:rsidR="00CC1636">
        <w:t>Tr. 1481, 1482</w:t>
      </w:r>
      <w:r w:rsidR="00EA46A4">
        <w:t>.</w:t>
      </w:r>
      <w:r w:rsidR="00520787" w:rsidRPr="000F4445">
        <w:t xml:space="preserve">) Similarly, </w:t>
      </w:r>
      <w:proofErr w:type="spellStart"/>
      <w:r w:rsidR="00520787" w:rsidRPr="000F4445">
        <w:t>GIPL</w:t>
      </w:r>
      <w:proofErr w:type="spellEnd"/>
      <w:r w:rsidR="00520787" w:rsidRPr="000F4445">
        <w:t>/</w:t>
      </w:r>
      <w:proofErr w:type="spellStart"/>
      <w:r w:rsidR="00520787" w:rsidRPr="000F4445">
        <w:t>Southface</w:t>
      </w:r>
      <w:proofErr w:type="spellEnd"/>
      <w:r w:rsidR="00520787" w:rsidRPr="000F4445">
        <w:t xml:space="preserve"> Witness </w:t>
      </w:r>
      <w:proofErr w:type="spellStart"/>
      <w:r w:rsidR="00520787" w:rsidRPr="000F4445">
        <w:t>Hotaling</w:t>
      </w:r>
      <w:proofErr w:type="spellEnd"/>
      <w:r w:rsidR="00520787" w:rsidRPr="000F4445">
        <w:t xml:space="preserve"> describes the “Load Change,” “Load Removed,” and “Load Ramp Change” as part of her analysis of the large load quarterly reports submitted by the Company and ultimately provides recommendations around capturing the risk of certain customers dropping out of Georgia Power’s load queue. (</w:t>
      </w:r>
      <w:r w:rsidR="00CC1636">
        <w:t>Tr. 3359</w:t>
      </w:r>
      <w:r w:rsidR="00EA46A4">
        <w:t>.</w:t>
      </w:r>
      <w:r w:rsidR="00520787" w:rsidRPr="000F4445">
        <w:t>)</w:t>
      </w:r>
    </w:p>
    <w:p w14:paraId="24F76076" w14:textId="5B3ED49D" w:rsidR="00520787" w:rsidRDefault="00520787" w:rsidP="00747479">
      <w:pPr>
        <w:pStyle w:val="SSBodyText"/>
      </w:pPr>
      <w:r w:rsidRPr="000F4445">
        <w:t xml:space="preserve">A focus on load removals fails to account for an equally, if not more, significant aspect of the </w:t>
      </w:r>
      <w:proofErr w:type="spellStart"/>
      <w:r w:rsidRPr="000F4445">
        <w:t>LRM</w:t>
      </w:r>
      <w:proofErr w:type="spellEnd"/>
      <w:r w:rsidRPr="000F4445">
        <w:t xml:space="preserve">: load additions. For every reduction in load in the Company’s </w:t>
      </w:r>
      <w:proofErr w:type="spellStart"/>
      <w:r w:rsidRPr="000F4445">
        <w:t>LRM</w:t>
      </w:r>
      <w:proofErr w:type="spellEnd"/>
      <w:r w:rsidRPr="000F4445">
        <w:t>, there has been an equal or greater load increase. (</w:t>
      </w:r>
      <w:r w:rsidRPr="000F4445">
        <w:rPr>
          <w:i/>
          <w:iCs/>
        </w:rPr>
        <w:t xml:space="preserve">See </w:t>
      </w:r>
      <w:r w:rsidRPr="000F4445">
        <w:t>Tr. 298</w:t>
      </w:r>
      <w:r w:rsidR="00E76AA6">
        <w:t>.</w:t>
      </w:r>
      <w:r w:rsidRPr="000F4445">
        <w:t xml:space="preserve">) In fact, for every megawatt removed from the </w:t>
      </w:r>
      <w:proofErr w:type="spellStart"/>
      <w:r w:rsidRPr="000F4445">
        <w:t>LRM</w:t>
      </w:r>
      <w:proofErr w:type="spellEnd"/>
      <w:r w:rsidRPr="000F4445">
        <w:t>, three megawatts get added to the pipeline. (</w:t>
      </w:r>
      <w:r w:rsidRPr="000F4445">
        <w:rPr>
          <w:i/>
          <w:iCs/>
        </w:rPr>
        <w:t>Id.</w:t>
      </w:r>
      <w:r w:rsidRPr="000F4445">
        <w:t xml:space="preserve">) In other words, load additions more than offset any load removals that </w:t>
      </w:r>
      <w:r w:rsidR="00E76AA6">
        <w:t xml:space="preserve">PIA </w:t>
      </w:r>
      <w:r w:rsidRPr="000F4445">
        <w:t>Staff and Intervenors focus on</w:t>
      </w:r>
      <w:r>
        <w:t>, and these load additions must be considered together with load removals</w:t>
      </w:r>
      <w:r w:rsidRPr="000F4445">
        <w:t>.</w:t>
      </w:r>
      <w:r w:rsidR="00CC1636">
        <w:t xml:space="preserve"> (</w:t>
      </w:r>
      <w:r w:rsidR="5C249BDF">
        <w:t>Tr. 4725</w:t>
      </w:r>
      <w:r w:rsidR="0E5EA55F">
        <w:t>.</w:t>
      </w:r>
      <w:r w:rsidR="00CC1636">
        <w:t>)</w:t>
      </w:r>
      <w:r w:rsidRPr="000F4445">
        <w:t xml:space="preserve"> When </w:t>
      </w:r>
      <w:r w:rsidR="00854D81">
        <w:t>load removals and additions are properly considered</w:t>
      </w:r>
      <w:r w:rsidRPr="000F4445">
        <w:t xml:space="preserve">, the size of the large load pipeline </w:t>
      </w:r>
      <w:r w:rsidR="00854D81">
        <w:t xml:space="preserve">shows </w:t>
      </w:r>
      <w:r w:rsidR="00854D81" w:rsidRPr="000F4445">
        <w:t>continue</w:t>
      </w:r>
      <w:r w:rsidR="00854D81">
        <w:t>d</w:t>
      </w:r>
      <w:r w:rsidR="00854D81" w:rsidRPr="000F4445">
        <w:t xml:space="preserve"> </w:t>
      </w:r>
      <w:r w:rsidRPr="000F4445">
        <w:t>grow</w:t>
      </w:r>
      <w:r w:rsidR="00854D81">
        <w:t>th</w:t>
      </w:r>
      <w:r w:rsidRPr="000F4445">
        <w:t>, and this growth drives the Company’s planning decisions</w:t>
      </w:r>
      <w:r w:rsidR="00854D81">
        <w:t>, as detailed in this IRP.</w:t>
      </w:r>
      <w:r w:rsidR="00CC1636">
        <w:t xml:space="preserve"> (</w:t>
      </w:r>
      <w:r w:rsidR="04A30AFA">
        <w:t>Tr. 4725</w:t>
      </w:r>
      <w:r w:rsidR="005E7EBA">
        <w:t>–</w:t>
      </w:r>
      <w:r w:rsidR="04A30AFA">
        <w:t>26.</w:t>
      </w:r>
      <w:r w:rsidR="00CC1636">
        <w:t>)</w:t>
      </w:r>
    </w:p>
    <w:p w14:paraId="0F4FFB4A" w14:textId="2C5AFB78" w:rsidR="000F4445" w:rsidRPr="000F4445" w:rsidRDefault="00854D81" w:rsidP="00747479">
      <w:pPr>
        <w:pStyle w:val="SSBodyText"/>
      </w:pPr>
      <w:r>
        <w:t>O</w:t>
      </w:r>
      <w:r w:rsidR="00520787" w:rsidRPr="000F4445">
        <w:t xml:space="preserve">ver emphasis </w:t>
      </w:r>
      <w:r>
        <w:t xml:space="preserve">of just the load removal </w:t>
      </w:r>
      <w:r w:rsidR="00520787" w:rsidRPr="000F4445">
        <w:t xml:space="preserve">component of the load forecast could lead to an under-forecasted load, </w:t>
      </w:r>
      <w:r>
        <w:t xml:space="preserve">causing the Company to have insufficient resources available to serve load, </w:t>
      </w:r>
      <w:r w:rsidR="00520787" w:rsidRPr="000F4445">
        <w:lastRenderedPageBreak/>
        <w:t xml:space="preserve">which could in turn increase reliability risks for customers </w:t>
      </w:r>
      <w:r w:rsidR="00E217FD">
        <w:t xml:space="preserve">and force the Company </w:t>
      </w:r>
      <w:r w:rsidR="00DB6E2D">
        <w:t xml:space="preserve">either </w:t>
      </w:r>
      <w:r w:rsidR="00E217FD">
        <w:t xml:space="preserve">to </w:t>
      </w:r>
      <w:r w:rsidR="00520787" w:rsidRPr="000F4445">
        <w:t>shed load or make costly market purchases</w:t>
      </w:r>
      <w:r w:rsidR="00C17688">
        <w:t>.</w:t>
      </w:r>
      <w:r w:rsidR="00E217FD">
        <w:t xml:space="preserve"> (</w:t>
      </w:r>
      <w:r w:rsidR="425ABEDD">
        <w:t>Tr. 4726</w:t>
      </w:r>
      <w:r w:rsidR="00E76AA6">
        <w:t>.</w:t>
      </w:r>
      <w:r w:rsidR="00E217FD">
        <w:t>)</w:t>
      </w:r>
      <w:r w:rsidR="00520787" w:rsidRPr="000F4445">
        <w:t xml:space="preserve"> </w:t>
      </w:r>
      <w:r w:rsidR="1ADDFF37">
        <w:t xml:space="preserve">Moreover, an under-forecasted load prevents the Company from effectively serving the economic load growth that is occurring in Georgia—load that </w:t>
      </w:r>
      <w:r w:rsidR="25FE96DA">
        <w:t xml:space="preserve">PIA Staff </w:t>
      </w:r>
      <w:r w:rsidR="1CE80576">
        <w:t>does not dispute</w:t>
      </w:r>
      <w:r w:rsidR="25FE96DA">
        <w:t xml:space="preserve"> is coming to Georgia</w:t>
      </w:r>
      <w:r w:rsidR="1ADDFF37">
        <w:t xml:space="preserve">. </w:t>
      </w:r>
      <w:r w:rsidR="5CDC4A22">
        <w:t xml:space="preserve">(Tr. 1563.) </w:t>
      </w:r>
      <w:r w:rsidR="00520787" w:rsidRPr="000F4445">
        <w:t xml:space="preserve">Therefore, it is crucially important for the Company’s </w:t>
      </w:r>
      <w:r w:rsidR="00C42C2E" w:rsidRPr="00A809CA">
        <w:t>Load and Energy Forecast</w:t>
      </w:r>
      <w:r w:rsidR="00C42C2E">
        <w:t xml:space="preserve"> </w:t>
      </w:r>
      <w:r w:rsidR="00520787" w:rsidRPr="000F4445">
        <w:t>to appropriately consider all aspects—load additions as well as load removals—to ensure accurate forecasts</w:t>
      </w:r>
      <w:r w:rsidR="000F4445" w:rsidRPr="000F4445">
        <w:t>.</w:t>
      </w:r>
    </w:p>
    <w:p w14:paraId="0A680101" w14:textId="3A5B682D" w:rsidR="000F4445" w:rsidRPr="00BD4758" w:rsidRDefault="00AD63D7" w:rsidP="00FF7F2D">
      <w:pPr>
        <w:pStyle w:val="Heading4"/>
      </w:pPr>
      <w:r>
        <w:t xml:space="preserve">PIA </w:t>
      </w:r>
      <w:r w:rsidR="00FF7F2D" w:rsidRPr="00BD4758">
        <w:t xml:space="preserve">Staff and </w:t>
      </w:r>
      <w:proofErr w:type="spellStart"/>
      <w:r w:rsidR="00DB6E2D">
        <w:t>GIPL</w:t>
      </w:r>
      <w:proofErr w:type="spellEnd"/>
      <w:r w:rsidR="00DB6E2D">
        <w:t>/</w:t>
      </w:r>
      <w:proofErr w:type="spellStart"/>
      <w:r w:rsidR="00DB6E2D">
        <w:t>Southface</w:t>
      </w:r>
      <w:proofErr w:type="spellEnd"/>
      <w:r w:rsidR="00FF7F2D" w:rsidRPr="00BD4758">
        <w:t xml:space="preserve"> inappropriately extrapolate data</w:t>
      </w:r>
      <w:r w:rsidR="000F4445" w:rsidRPr="00BD4758">
        <w:t xml:space="preserve"> across quarterly reports</w:t>
      </w:r>
      <w:r w:rsidR="00FF7F2D" w:rsidRPr="00BD4758">
        <w:t>,</w:t>
      </w:r>
      <w:r w:rsidR="000F4445" w:rsidRPr="00BD4758">
        <w:t xml:space="preserve"> result</w:t>
      </w:r>
      <w:r w:rsidR="00FF7F2D" w:rsidRPr="00BD4758">
        <w:t>ing</w:t>
      </w:r>
      <w:r w:rsidR="000F4445" w:rsidRPr="00BD4758">
        <w:t xml:space="preserve"> in double counting of load trends.</w:t>
      </w:r>
    </w:p>
    <w:p w14:paraId="0536220D" w14:textId="4308C0F8" w:rsidR="00520787" w:rsidRDefault="00AD63D7" w:rsidP="00747479">
      <w:pPr>
        <w:pStyle w:val="SSBodyText"/>
      </w:pPr>
      <w:r>
        <w:t xml:space="preserve">PIA </w:t>
      </w:r>
      <w:r w:rsidR="00520787" w:rsidRPr="000F4445">
        <w:t xml:space="preserve">Staff and </w:t>
      </w:r>
      <w:proofErr w:type="spellStart"/>
      <w:r w:rsidR="00520787" w:rsidRPr="000F4445">
        <w:t>GIPL</w:t>
      </w:r>
      <w:proofErr w:type="spellEnd"/>
      <w:r w:rsidR="00520787" w:rsidRPr="000F4445">
        <w:t xml:space="preserve"> criticize the Company’s use of data in the </w:t>
      </w:r>
      <w:proofErr w:type="spellStart"/>
      <w:r w:rsidR="00520787" w:rsidRPr="000F4445">
        <w:t>LRM</w:t>
      </w:r>
      <w:proofErr w:type="spellEnd"/>
      <w:r w:rsidR="00520787" w:rsidRPr="000F4445">
        <w:t xml:space="preserve">. Specifically, </w:t>
      </w:r>
      <w:r>
        <w:t xml:space="preserve">PIA </w:t>
      </w:r>
      <w:r w:rsidR="00520787" w:rsidRPr="000F4445">
        <w:t>Staff</w:t>
      </w:r>
      <w:r w:rsidR="00BC37EC">
        <w:t>’s</w:t>
      </w:r>
      <w:r w:rsidR="00520787" w:rsidRPr="000F4445">
        <w:t xml:space="preserve"> panel of </w:t>
      </w:r>
      <w:r w:rsidR="00BC37EC">
        <w:t xml:space="preserve">Witnesses </w:t>
      </w:r>
      <w:proofErr w:type="spellStart"/>
      <w:r w:rsidR="00520787" w:rsidRPr="000F4445">
        <w:t>Trokey</w:t>
      </w:r>
      <w:proofErr w:type="spellEnd"/>
      <w:r w:rsidR="00520787" w:rsidRPr="000F4445">
        <w:t xml:space="preserve">, </w:t>
      </w:r>
      <w:proofErr w:type="spellStart"/>
      <w:r w:rsidR="00520787" w:rsidRPr="000F4445">
        <w:t>Drugan</w:t>
      </w:r>
      <w:proofErr w:type="spellEnd"/>
      <w:r w:rsidR="00520787" w:rsidRPr="000F4445">
        <w:t xml:space="preserve">, and Pol seek to require the Company to report on how it will evaluate and incorporate data from all prior </w:t>
      </w:r>
      <w:proofErr w:type="spellStart"/>
      <w:r w:rsidR="00520787" w:rsidRPr="000F4445">
        <w:t>LRM</w:t>
      </w:r>
      <w:proofErr w:type="spellEnd"/>
      <w:r w:rsidR="00520787" w:rsidRPr="000F4445">
        <w:t xml:space="preserve"> vintages into the current </w:t>
      </w:r>
      <w:proofErr w:type="spellStart"/>
      <w:r w:rsidR="00520787" w:rsidRPr="000F4445">
        <w:t>LRM</w:t>
      </w:r>
      <w:proofErr w:type="spellEnd"/>
      <w:r w:rsidR="00520787" w:rsidRPr="000F4445">
        <w:t>. (</w:t>
      </w:r>
      <w:r w:rsidR="00E217FD">
        <w:t>Tr. 1429</w:t>
      </w:r>
      <w:r>
        <w:t>.</w:t>
      </w:r>
      <w:r w:rsidR="00520787" w:rsidRPr="000F4445">
        <w:t xml:space="preserve">) </w:t>
      </w:r>
      <w:proofErr w:type="spellStart"/>
      <w:r w:rsidR="00520787" w:rsidRPr="000F4445">
        <w:t>GIPL</w:t>
      </w:r>
      <w:proofErr w:type="spellEnd"/>
      <w:r w:rsidR="00520787" w:rsidRPr="000F4445">
        <w:t>/</w:t>
      </w:r>
      <w:proofErr w:type="spellStart"/>
      <w:r w:rsidR="00520787" w:rsidRPr="000F4445">
        <w:t>Southface</w:t>
      </w:r>
      <w:proofErr w:type="spellEnd"/>
      <w:r w:rsidR="00520787" w:rsidRPr="000F4445">
        <w:t xml:space="preserve"> Witness </w:t>
      </w:r>
      <w:proofErr w:type="spellStart"/>
      <w:r w:rsidR="00520787" w:rsidRPr="000F4445">
        <w:t>Hotaling</w:t>
      </w:r>
      <w:proofErr w:type="spellEnd"/>
      <w:r w:rsidR="00520787" w:rsidRPr="000F4445">
        <w:t xml:space="preserve"> </w:t>
      </w:r>
      <w:r w:rsidR="00520787">
        <w:t xml:space="preserve">also </w:t>
      </w:r>
      <w:r w:rsidR="00520787" w:rsidRPr="000F4445">
        <w:t>criticizes the Company for allegedly failing to use new data from the Company’s large load quarterly reports to update Company assumptions about how large load customers will behave and concludes that the large load model is not updated to reflect this new data</w:t>
      </w:r>
      <w:r w:rsidR="00E217FD">
        <w:t xml:space="preserve"> (Tr. 3357)</w:t>
      </w:r>
      <w:r w:rsidR="00520787" w:rsidRPr="000F4445">
        <w:t xml:space="preserve">, that the </w:t>
      </w:r>
      <w:r w:rsidR="00E217FD">
        <w:t>C</w:t>
      </w:r>
      <w:r w:rsidR="00520787" w:rsidRPr="000F4445">
        <w:t>ompany’s growth assumptions are inaccurate</w:t>
      </w:r>
      <w:r w:rsidR="00E217FD">
        <w:t xml:space="preserve"> (Tr. 3361)</w:t>
      </w:r>
      <w:r w:rsidR="00520787" w:rsidRPr="000F4445">
        <w:t xml:space="preserve">, and that the </w:t>
      </w:r>
      <w:r w:rsidR="00E217FD">
        <w:t>C</w:t>
      </w:r>
      <w:r w:rsidR="00520787" w:rsidRPr="000F4445">
        <w:t>ompany’s reliance on these allegedly inaccurate assumptions leads to an overstated load forecast</w:t>
      </w:r>
      <w:r w:rsidR="009B0609">
        <w:t>.</w:t>
      </w:r>
      <w:r w:rsidR="00E217FD">
        <w:t xml:space="preserve"> (Tr. 3367</w:t>
      </w:r>
      <w:r>
        <w:t>.</w:t>
      </w:r>
      <w:r w:rsidR="00E217FD">
        <w:t>)</w:t>
      </w:r>
      <w:r w:rsidR="00520787" w:rsidRPr="000F4445">
        <w:t xml:space="preserve"> Witness </w:t>
      </w:r>
      <w:proofErr w:type="spellStart"/>
      <w:r w:rsidR="00520787" w:rsidRPr="000F4445">
        <w:t>Hotaling</w:t>
      </w:r>
      <w:proofErr w:type="spellEnd"/>
      <w:r w:rsidR="00520787" w:rsidRPr="000F4445">
        <w:t xml:space="preserve"> recommends that the Company’s delay probability in the </w:t>
      </w:r>
      <w:proofErr w:type="spellStart"/>
      <w:r w:rsidR="00520787" w:rsidRPr="000F4445">
        <w:t>LRM</w:t>
      </w:r>
      <w:proofErr w:type="spellEnd"/>
      <w:r w:rsidR="00520787" w:rsidRPr="000F4445">
        <w:t xml:space="preserve"> should be modified to reflect data from the available quarterly load reports</w:t>
      </w:r>
      <w:r w:rsidR="009B0609">
        <w:t>.</w:t>
      </w:r>
      <w:r w:rsidR="00416FCE">
        <w:t xml:space="preserve"> (Tr. 3367</w:t>
      </w:r>
      <w:r w:rsidR="00385A75">
        <w:t>.</w:t>
      </w:r>
      <w:r w:rsidR="00416FCE">
        <w:t>)</w:t>
      </w:r>
    </w:p>
    <w:p w14:paraId="6C40EF14" w14:textId="78DEC532" w:rsidR="000F4445" w:rsidRPr="000F4445" w:rsidRDefault="00520787" w:rsidP="00747479">
      <w:pPr>
        <w:pStyle w:val="SSBodyText"/>
      </w:pPr>
      <w:r w:rsidRPr="000F4445">
        <w:t xml:space="preserve">These witnesses fail to appreciate that the quarterly reports filed by the </w:t>
      </w:r>
      <w:r>
        <w:t>C</w:t>
      </w:r>
      <w:r w:rsidRPr="000F4445">
        <w:t>ompany already provide the most up-to-date information each time they are filed. For every iteration of the quarterly report, the Company includes the latest information, and past information in previous quarterly reports becomes obsolete</w:t>
      </w:r>
      <w:r w:rsidR="009B0609">
        <w:t>.</w:t>
      </w:r>
      <w:r w:rsidR="00416FCE">
        <w:t xml:space="preserve"> (</w:t>
      </w:r>
      <w:r w:rsidR="18CEDCE3">
        <w:t>Tr. 4722.</w:t>
      </w:r>
      <w:r w:rsidR="00416FCE">
        <w:t>)</w:t>
      </w:r>
      <w:r w:rsidRPr="000F4445">
        <w:t xml:space="preserve"> Incorporating data from previous quarterly reports would </w:t>
      </w:r>
      <w:r>
        <w:t>double count</w:t>
      </w:r>
      <w:r w:rsidRPr="000F4445">
        <w:t xml:space="preserve"> data points and would most certainly lead to inaccurate conclusions</w:t>
      </w:r>
      <w:r w:rsidR="009B0609">
        <w:t>.</w:t>
      </w:r>
      <w:r w:rsidR="00416FCE">
        <w:t xml:space="preserve"> (</w:t>
      </w:r>
      <w:r w:rsidR="244FBB83" w:rsidRPr="2434A1BF">
        <w:rPr>
          <w:i/>
          <w:iCs/>
        </w:rPr>
        <w:t>Id</w:t>
      </w:r>
      <w:r w:rsidR="00291CFE" w:rsidRPr="2434A1BF">
        <w:rPr>
          <w:i/>
          <w:iCs/>
        </w:rPr>
        <w:t>.</w:t>
      </w:r>
      <w:r w:rsidR="00416FCE">
        <w:t>)</w:t>
      </w:r>
      <w:r w:rsidRPr="000F4445">
        <w:t xml:space="preserve"> </w:t>
      </w:r>
      <w:r w:rsidRPr="000F4445">
        <w:lastRenderedPageBreak/>
        <w:t xml:space="preserve">Therefore, the recommendation by </w:t>
      </w:r>
      <w:r w:rsidR="00291CFE">
        <w:t xml:space="preserve">PIA </w:t>
      </w:r>
      <w:r w:rsidRPr="000F4445">
        <w:t xml:space="preserve">Staff witnesses </w:t>
      </w:r>
      <w:proofErr w:type="spellStart"/>
      <w:r w:rsidRPr="000F4445">
        <w:t>Trokey</w:t>
      </w:r>
      <w:proofErr w:type="spellEnd"/>
      <w:r w:rsidRPr="000F4445">
        <w:t xml:space="preserve">, </w:t>
      </w:r>
      <w:proofErr w:type="spellStart"/>
      <w:r w:rsidRPr="000F4445">
        <w:t>Drugan</w:t>
      </w:r>
      <w:proofErr w:type="spellEnd"/>
      <w:r w:rsidRPr="000F4445">
        <w:t xml:space="preserve">, and Pol to incorporate data produced from all prior </w:t>
      </w:r>
      <w:proofErr w:type="spellStart"/>
      <w:r w:rsidRPr="000F4445">
        <w:t>LRM</w:t>
      </w:r>
      <w:proofErr w:type="spellEnd"/>
      <w:r w:rsidRPr="000F4445">
        <w:t xml:space="preserve"> vintages into the current </w:t>
      </w:r>
      <w:proofErr w:type="spellStart"/>
      <w:r w:rsidRPr="000F4445">
        <w:t>LRM</w:t>
      </w:r>
      <w:proofErr w:type="spellEnd"/>
      <w:r w:rsidRPr="000F4445">
        <w:t xml:space="preserve"> is not only redundant but would also lead to fundamental inaccuracies in the data. Likewise, Witness </w:t>
      </w:r>
      <w:proofErr w:type="spellStart"/>
      <w:r w:rsidRPr="000F4445">
        <w:t>Hotaling’s</w:t>
      </w:r>
      <w:proofErr w:type="spellEnd"/>
      <w:r w:rsidRPr="000F4445">
        <w:t xml:space="preserve"> recommendation to extrapolate and incorporate quarterly large load report data into the delay probability aspect of the </w:t>
      </w:r>
      <w:proofErr w:type="spellStart"/>
      <w:r w:rsidRPr="000F4445">
        <w:t>LRM</w:t>
      </w:r>
      <w:proofErr w:type="spellEnd"/>
      <w:r w:rsidRPr="000F4445">
        <w:t xml:space="preserve"> would also result in double counting of data points. </w:t>
      </w:r>
      <w:r>
        <w:t>T</w:t>
      </w:r>
      <w:r w:rsidRPr="000F4445">
        <w:t xml:space="preserve">hese recommendations </w:t>
      </w:r>
      <w:r w:rsidR="009B0609">
        <w:t xml:space="preserve">should be rejected </w:t>
      </w:r>
      <w:r w:rsidRPr="000F4445">
        <w:t>by the Commission</w:t>
      </w:r>
      <w:r w:rsidR="000F4445" w:rsidRPr="000F4445">
        <w:t>.</w:t>
      </w:r>
    </w:p>
    <w:p w14:paraId="1220B673" w14:textId="4334A487" w:rsidR="000F4445" w:rsidRPr="00AF0A30" w:rsidRDefault="000F4445" w:rsidP="00FF7F2D">
      <w:pPr>
        <w:pStyle w:val="Heading4"/>
      </w:pPr>
      <w:r w:rsidRPr="00AF0A30">
        <w:t>The Company’s forecasting approach is a more reasonable estimation of the load it will be required to serve.</w:t>
      </w:r>
    </w:p>
    <w:p w14:paraId="474DC0CE" w14:textId="267B3080" w:rsidR="008D47A2" w:rsidRDefault="6444B0B0" w:rsidP="00747479">
      <w:pPr>
        <w:pStyle w:val="SSBodyText"/>
      </w:pPr>
      <w:r>
        <w:t xml:space="preserve">PIA </w:t>
      </w:r>
      <w:r w:rsidR="5858A027">
        <w:t xml:space="preserve">Staff Witnesses </w:t>
      </w:r>
      <w:proofErr w:type="spellStart"/>
      <w:r w:rsidR="5858A027">
        <w:t>Trokey</w:t>
      </w:r>
      <w:proofErr w:type="spellEnd"/>
      <w:r w:rsidR="5858A027">
        <w:t xml:space="preserve">, </w:t>
      </w:r>
      <w:proofErr w:type="spellStart"/>
      <w:r w:rsidR="5858A027">
        <w:t>Drugan</w:t>
      </w:r>
      <w:proofErr w:type="spellEnd"/>
      <w:r w:rsidR="5858A027">
        <w:t xml:space="preserve">, and Pol identified only one adjustment to the Company’s </w:t>
      </w:r>
      <w:r>
        <w:t>Load and Energy Forecast</w:t>
      </w:r>
      <w:r w:rsidR="5858A027">
        <w:t>, which was a</w:t>
      </w:r>
      <w:r w:rsidR="062C14B7">
        <w:t>n</w:t>
      </w:r>
      <w:r w:rsidR="252A3F47">
        <w:t xml:space="preserve"> </w:t>
      </w:r>
      <w:r w:rsidR="5858A027">
        <w:t>adjustment to</w:t>
      </w:r>
      <w:r w:rsidR="00733D3A">
        <w:t xml:space="preserve"> one assumption within</w:t>
      </w:r>
      <w:r w:rsidR="5858A027">
        <w:t xml:space="preserve"> the </w:t>
      </w:r>
      <w:proofErr w:type="spellStart"/>
      <w:r>
        <w:t>LRM</w:t>
      </w:r>
      <w:proofErr w:type="spellEnd"/>
      <w:r w:rsidR="752946A4">
        <w:t>.</w:t>
      </w:r>
      <w:r w:rsidR="5858A027">
        <w:t xml:space="preserve"> </w:t>
      </w:r>
      <w:r w:rsidR="752946A4" w:rsidRPr="5D25C0F2">
        <w:rPr>
          <w:rFonts w:eastAsia="Times New Roman"/>
        </w:rPr>
        <w:t xml:space="preserve">Specifically, </w:t>
      </w:r>
      <w:r w:rsidR="00E52132">
        <w:rPr>
          <w:rFonts w:eastAsia="Times New Roman"/>
        </w:rPr>
        <w:t xml:space="preserve">PIA </w:t>
      </w:r>
      <w:r w:rsidR="752946A4" w:rsidRPr="5D25C0F2">
        <w:rPr>
          <w:rFonts w:eastAsia="Times New Roman"/>
        </w:rPr>
        <w:t xml:space="preserve">Staff proposed to alter the materialization assumption for data center and cryptocurrency </w:t>
      </w:r>
      <w:r w:rsidR="008D47A2">
        <w:rPr>
          <w:rFonts w:eastAsia="Times New Roman"/>
        </w:rPr>
        <w:t xml:space="preserve">customer segments </w:t>
      </w:r>
      <w:r w:rsidR="752946A4" w:rsidRPr="5D25C0F2">
        <w:rPr>
          <w:rFonts w:eastAsia="Times New Roman"/>
        </w:rPr>
        <w:t xml:space="preserve">currently included in the </w:t>
      </w:r>
      <w:proofErr w:type="spellStart"/>
      <w:r w:rsidR="752946A4" w:rsidRPr="5D25C0F2">
        <w:rPr>
          <w:rFonts w:eastAsia="Times New Roman"/>
        </w:rPr>
        <w:t>LRM</w:t>
      </w:r>
      <w:proofErr w:type="spellEnd"/>
      <w:r w:rsidR="752946A4" w:rsidRPr="5D25C0F2">
        <w:rPr>
          <w:rFonts w:eastAsia="Times New Roman"/>
        </w:rPr>
        <w:t xml:space="preserve"> to align with the materialization assumption for other industry segments, effectively applying </w:t>
      </w:r>
      <w:r w:rsidR="5858A027" w:rsidRPr="5D25C0F2">
        <w:rPr>
          <w:rFonts w:eastAsia="Times New Roman"/>
        </w:rPr>
        <w:t>a uniform adjustment across all customer segments that reduces the Company’s peak load forecast by 2,000 MW through 2032 (the “Uniform Adjustment”)</w:t>
      </w:r>
      <w:r w:rsidR="4981ED7A" w:rsidRPr="5D25C0F2">
        <w:rPr>
          <w:rFonts w:eastAsia="Times New Roman"/>
        </w:rPr>
        <w:t>.</w:t>
      </w:r>
      <w:r w:rsidR="35EAE204">
        <w:t xml:space="preserve"> (Tr. 1501</w:t>
      </w:r>
      <w:r>
        <w:t>.</w:t>
      </w:r>
      <w:r w:rsidR="35EAE204">
        <w:t>)</w:t>
      </w:r>
      <w:r w:rsidR="5858A027">
        <w:t xml:space="preserve"> </w:t>
      </w:r>
    </w:p>
    <w:p w14:paraId="720CA440" w14:textId="1B2CCAA0" w:rsidR="00520787" w:rsidRPr="000F4445" w:rsidRDefault="5858A027" w:rsidP="00747479">
      <w:pPr>
        <w:pStyle w:val="SSBodyText"/>
      </w:pPr>
      <w:r>
        <w:t xml:space="preserve">This </w:t>
      </w:r>
      <w:r w:rsidR="008D47A2">
        <w:t>Uniform A</w:t>
      </w:r>
      <w:r>
        <w:t>djustment fails to account for more recent developments in the large load pipeline. As demonstrated in the record, the Company’s large load pipeline has more than doubled, and the composition of the pipeline itself has also changed. (</w:t>
      </w:r>
      <w:r w:rsidR="087C166B">
        <w:t>Tr. 4729</w:t>
      </w:r>
      <w:r w:rsidR="00EF409D">
        <w:t>–</w:t>
      </w:r>
      <w:r w:rsidR="087C166B">
        <w:t>30.</w:t>
      </w:r>
      <w:r>
        <w:t>) As outlined in Exhibit 1 from Georgia Power’s Rebuttal Testimony</w:t>
      </w:r>
      <w:r w:rsidR="463B34DD">
        <w:t xml:space="preserve"> (Tr. 4773</w:t>
      </w:r>
      <w:r w:rsidR="00EF409D">
        <w:t>–</w:t>
      </w:r>
      <w:r w:rsidR="463B34DD">
        <w:t>83)</w:t>
      </w:r>
      <w:r>
        <w:t>, the Company proactively refined model inputs based on these meaningful load pipeline developments. (</w:t>
      </w:r>
      <w:r w:rsidR="6775F87B">
        <w:t>Tr. 4730.</w:t>
      </w:r>
      <w:r>
        <w:t>) The Company’s February 2025 adjustments are based on recent market insights to provide an updated perspective on new large loads.</w:t>
      </w:r>
      <w:r w:rsidR="0EB4B340">
        <w:t xml:space="preserve"> (</w:t>
      </w:r>
      <w:r w:rsidR="03659A74">
        <w:t>Tr. 4732</w:t>
      </w:r>
      <w:r w:rsidR="6444B0B0">
        <w:t>.</w:t>
      </w:r>
      <w:r w:rsidR="0EB4B340">
        <w:t>)</w:t>
      </w:r>
      <w:r>
        <w:t xml:space="preserve"> The Company revised its materialization assumptions to differentiate between the types of data center customers </w:t>
      </w:r>
      <w:r w:rsidR="008D47A2">
        <w:t>and</w:t>
      </w:r>
      <w:r>
        <w:t xml:space="preserve"> shifted the commitment likelihood to </w:t>
      </w:r>
      <w:r>
        <w:lastRenderedPageBreak/>
        <w:t>focus on a more definitive and binding stage of customer commitment. (</w:t>
      </w:r>
      <w:r w:rsidR="7225859B">
        <w:t>Tr. 4732</w:t>
      </w:r>
      <w:r w:rsidR="00E13C98">
        <w:t>–</w:t>
      </w:r>
      <w:r w:rsidR="7225859B">
        <w:t>33</w:t>
      </w:r>
      <w:r w:rsidR="6444B0B0">
        <w:t>.</w:t>
      </w:r>
      <w:r>
        <w:t>) Using these adjustments, the Company then produced a new load forecast and updated its capacity needs, all of which are established in the record for the Commission’s consideration. (</w:t>
      </w:r>
      <w:r w:rsidRPr="2434A1BF">
        <w:rPr>
          <w:i/>
        </w:rPr>
        <w:t xml:space="preserve">See </w:t>
      </w:r>
      <w:r w:rsidR="45952502">
        <w:t>Tr. 4734, Fig. 2; Tr. 4735, Fig. 3.</w:t>
      </w:r>
      <w:r>
        <w:t>)</w:t>
      </w:r>
    </w:p>
    <w:p w14:paraId="6A061C51" w14:textId="149DCB3B" w:rsidR="00520787" w:rsidRPr="000F4445" w:rsidRDefault="00520787" w:rsidP="00747479">
      <w:pPr>
        <w:pStyle w:val="SSBodyText"/>
      </w:pPr>
      <w:r w:rsidRPr="000F4445">
        <w:t>Despite having access to large load data through Q4 2024 and February 2025 that informed the Company’s February sensitivity,</w:t>
      </w:r>
      <w:r w:rsidR="004E3E14">
        <w:t xml:space="preserve"> PIA</w:t>
      </w:r>
      <w:r w:rsidRPr="000F4445">
        <w:t xml:space="preserve"> Staff witnesses made their Uniform Adjustment recommendation based on large load pipeline data through Q2 of 2024 only</w:t>
      </w:r>
      <w:r>
        <w:t>, which fails to account for more recent significant changes</w:t>
      </w:r>
      <w:r w:rsidRPr="000F4445">
        <w:t>. (</w:t>
      </w:r>
      <w:r w:rsidR="4C3F6A85">
        <w:t>Tr. 4730</w:t>
      </w:r>
      <w:r w:rsidR="00D5412E">
        <w:t>.</w:t>
      </w:r>
      <w:r>
        <w:t>)</w:t>
      </w:r>
      <w:r w:rsidRPr="000F4445">
        <w:t xml:space="preserve"> Applying </w:t>
      </w:r>
      <w:r w:rsidR="004E3E14">
        <w:t xml:space="preserve">PIA </w:t>
      </w:r>
      <w:r w:rsidRPr="000F4445">
        <w:t>Staff’s Uniform Adjustment to the latest large load pipeline</w:t>
      </w:r>
      <w:r>
        <w:t>, as recommended by</w:t>
      </w:r>
      <w:r w:rsidRPr="000F4445">
        <w:t xml:space="preserve"> </w:t>
      </w:r>
      <w:r w:rsidR="004E3E14">
        <w:t xml:space="preserve">PIA </w:t>
      </w:r>
      <w:r w:rsidRPr="000F4445">
        <w:t>Staff Witness Pol (</w:t>
      </w:r>
      <w:r w:rsidR="009B0609" w:rsidRPr="2434A1BF">
        <w:rPr>
          <w:i/>
        </w:rPr>
        <w:t>see</w:t>
      </w:r>
      <w:r w:rsidR="009B0609">
        <w:t xml:space="preserve"> </w:t>
      </w:r>
      <w:r w:rsidR="31715F71">
        <w:t>Tr. 4730</w:t>
      </w:r>
      <w:r w:rsidR="008D47A2">
        <w:t>–</w:t>
      </w:r>
      <w:r w:rsidR="31715F71">
        <w:t>31</w:t>
      </w:r>
      <w:r w:rsidRPr="000F4445">
        <w:t xml:space="preserve">), results in a large load forecast that is more than 2,250 MW greater than the Company’s February 2025 sensitivity by 2030, and this difference continues to grow over time. </w:t>
      </w:r>
      <w:r>
        <w:t>(</w:t>
      </w:r>
      <w:r w:rsidR="27F142F0">
        <w:t>Tr. 4731</w:t>
      </w:r>
      <w:r w:rsidR="004D255B">
        <w:t>.</w:t>
      </w:r>
      <w:r>
        <w:t>)</w:t>
      </w:r>
    </w:p>
    <w:p w14:paraId="07792D04" w14:textId="2169AB4D" w:rsidR="00520787" w:rsidRPr="000F4445" w:rsidRDefault="00520787" w:rsidP="00747479">
      <w:pPr>
        <w:pStyle w:val="SSBodyText"/>
      </w:pPr>
      <w:r>
        <w:t xml:space="preserve">These more recent changes are not </w:t>
      </w:r>
      <w:r w:rsidR="00D05AB1">
        <w:t>considered in</w:t>
      </w:r>
      <w:r>
        <w:t xml:space="preserve"> </w:t>
      </w:r>
      <w:r w:rsidR="004D255B">
        <w:t xml:space="preserve">PIA </w:t>
      </w:r>
      <w:r>
        <w:t>Staff’s Uniform Adjustment</w:t>
      </w:r>
      <w:r w:rsidR="00733D3A">
        <w:t>;</w:t>
      </w:r>
      <w:r>
        <w:t xml:space="preserve"> therefore,</w:t>
      </w:r>
      <w:r w:rsidR="004D255B">
        <w:t xml:space="preserve"> PIA</w:t>
      </w:r>
      <w:r>
        <w:t xml:space="preserve"> Staff’s Uniform Adjustment should be rejected. The Company’s revised February 2025 sensitivity is rooted in the dynamic nature of the large load customer portfolio and addresses the need to evolve forecasting models to better reflect the latest available information. </w:t>
      </w:r>
      <w:r w:rsidR="007E3727">
        <w:t>(</w:t>
      </w:r>
      <w:r w:rsidR="443D3156">
        <w:t>Tr. 4732.</w:t>
      </w:r>
      <w:r w:rsidR="007E3727">
        <w:t xml:space="preserve">) </w:t>
      </w:r>
      <w:r>
        <w:t xml:space="preserve">The Company incorporates complexities and uncertainties unique to data center customer behavior, which results in a more </w:t>
      </w:r>
      <w:r w:rsidR="007E3727">
        <w:t xml:space="preserve">nuanced, </w:t>
      </w:r>
      <w:r>
        <w:t>accurate</w:t>
      </w:r>
      <w:r w:rsidR="007E3727">
        <w:t>,</w:t>
      </w:r>
      <w:r>
        <w:t xml:space="preserve"> and reliable forecast. </w:t>
      </w:r>
      <w:r w:rsidR="007E3727">
        <w:t>(</w:t>
      </w:r>
      <w:r w:rsidR="39E2E3B3">
        <w:t>Tr. 4733.</w:t>
      </w:r>
      <w:r w:rsidR="007E3727">
        <w:t xml:space="preserve">) </w:t>
      </w:r>
      <w:r>
        <w:t>Simply put, the Company’s February 2025 adjustments are more appropriate than</w:t>
      </w:r>
      <w:r w:rsidR="004D255B">
        <w:t xml:space="preserve"> PIA</w:t>
      </w:r>
      <w:r>
        <w:t xml:space="preserve"> Staff’s proposed Uniform Adjustment.</w:t>
      </w:r>
    </w:p>
    <w:p w14:paraId="4EC0A0E8" w14:textId="68226A04" w:rsidR="00520787" w:rsidRDefault="00520787" w:rsidP="00747479">
      <w:pPr>
        <w:pStyle w:val="SSBodyText"/>
      </w:pPr>
      <w:r>
        <w:t xml:space="preserve">Additionally, </w:t>
      </w:r>
      <w:r w:rsidR="004D255B">
        <w:t xml:space="preserve">PIA </w:t>
      </w:r>
      <w:r>
        <w:t xml:space="preserve">Staff’s Uniform Adjustment </w:t>
      </w:r>
      <w:r w:rsidRPr="000F4445">
        <w:t xml:space="preserve">is based on </w:t>
      </w:r>
      <w:r>
        <w:t xml:space="preserve">a </w:t>
      </w:r>
      <w:r w:rsidR="00D05AB1">
        <w:t>single-</w:t>
      </w:r>
      <w:r>
        <w:t xml:space="preserve">year snapshot of only three data center projects, all of which are still in active development. </w:t>
      </w:r>
      <w:r w:rsidR="007E3727">
        <w:t>(</w:t>
      </w:r>
      <w:r w:rsidR="3A9A546B">
        <w:t>Tr. 4723.</w:t>
      </w:r>
      <w:r w:rsidR="007E3727">
        <w:t xml:space="preserve">) </w:t>
      </w:r>
      <w:r w:rsidR="004D255B">
        <w:t xml:space="preserve">PIA </w:t>
      </w:r>
      <w:r w:rsidRPr="000F4445">
        <w:t xml:space="preserve">Staff relied on this </w:t>
      </w:r>
      <w:r>
        <w:t xml:space="preserve">limited set of </w:t>
      </w:r>
      <w:r w:rsidRPr="000F4445">
        <w:t xml:space="preserve">early load data to justify a significant change in the materialization assumption </w:t>
      </w:r>
      <w:r w:rsidRPr="000F4445">
        <w:lastRenderedPageBreak/>
        <w:t xml:space="preserve">for all data centers. </w:t>
      </w:r>
      <w:r w:rsidR="166BBFE0">
        <w:t>(</w:t>
      </w:r>
      <w:r w:rsidR="166BBFE0" w:rsidRPr="54A0C814">
        <w:rPr>
          <w:i/>
          <w:iCs/>
        </w:rPr>
        <w:t>Id.</w:t>
      </w:r>
      <w:r w:rsidR="166BBFE0" w:rsidRPr="54A0C814">
        <w:t xml:space="preserve">) </w:t>
      </w:r>
      <w:r w:rsidRPr="000F4445">
        <w:t xml:space="preserve">This small sample size of three projects does not justify </w:t>
      </w:r>
      <w:r>
        <w:t xml:space="preserve">such a significant change to </w:t>
      </w:r>
      <w:r w:rsidRPr="000F4445">
        <w:t>materialization assumptions</w:t>
      </w:r>
      <w:r>
        <w:t>.</w:t>
      </w:r>
    </w:p>
    <w:p w14:paraId="57848543" w14:textId="5D37E830" w:rsidR="000F4445" w:rsidRPr="000F4445" w:rsidRDefault="00520787" w:rsidP="00747479">
      <w:pPr>
        <w:pStyle w:val="SSBodyText"/>
      </w:pPr>
      <w:r>
        <w:t xml:space="preserve">Moreover, the Company’s assumptions around materialization of data center loads </w:t>
      </w:r>
      <w:r w:rsidR="00B86AD9">
        <w:t xml:space="preserve">are </w:t>
      </w:r>
      <w:r>
        <w:t xml:space="preserve">based on the Company’s significant experience with the operational characteristics and load factors of data centers through the more than 70 data centers currently on the Company’s system. </w:t>
      </w:r>
      <w:r w:rsidR="007E3727">
        <w:t>(</w:t>
      </w:r>
      <w:r w:rsidR="585F131A">
        <w:t>Tr. 4723.</w:t>
      </w:r>
      <w:r w:rsidR="007E3727">
        <w:t xml:space="preserve">) </w:t>
      </w:r>
      <w:r>
        <w:t>Given the lack of more mature data on large load materialization, this information is helpful to support the different assumptions used for data centers versus other industry segments</w:t>
      </w:r>
      <w:r w:rsidR="000A4878">
        <w:t>.</w:t>
      </w:r>
      <w:r w:rsidR="007E3727">
        <w:t xml:space="preserve"> (</w:t>
      </w:r>
      <w:r w:rsidR="6F6F5B12">
        <w:t>Tr. 4724.</w:t>
      </w:r>
      <w:r w:rsidR="007E3727">
        <w:t>)</w:t>
      </w:r>
      <w:r>
        <w:t xml:space="preserve"> Accordingly, the Commission should reject </w:t>
      </w:r>
      <w:r w:rsidR="000A4878">
        <w:t xml:space="preserve">PIA </w:t>
      </w:r>
      <w:r>
        <w:t xml:space="preserve">Staff’s </w:t>
      </w:r>
      <w:r w:rsidR="00482617">
        <w:t>Uniform</w:t>
      </w:r>
      <w:r>
        <w:t xml:space="preserve"> </w:t>
      </w:r>
      <w:r w:rsidR="00482617">
        <w:t>A</w:t>
      </w:r>
      <w:r>
        <w:t>djustment</w:t>
      </w:r>
      <w:r w:rsidR="00482617">
        <w:t xml:space="preserve"> to the </w:t>
      </w:r>
      <w:r>
        <w:t xml:space="preserve">materialization assumption </w:t>
      </w:r>
      <w:r w:rsidR="00482617">
        <w:t xml:space="preserve">in the </w:t>
      </w:r>
      <w:proofErr w:type="spellStart"/>
      <w:r w:rsidR="00482617">
        <w:t>LRM</w:t>
      </w:r>
      <w:proofErr w:type="spellEnd"/>
      <w:r>
        <w:t xml:space="preserve">. However, the Company does agree that when an adequate sample size of mature projects becomes available, the </w:t>
      </w:r>
      <w:proofErr w:type="spellStart"/>
      <w:r>
        <w:t>LRM</w:t>
      </w:r>
      <w:proofErr w:type="spellEnd"/>
      <w:r>
        <w:t xml:space="preserve"> assumptions for all industry segments should be reevaluated </w:t>
      </w:r>
      <w:r w:rsidR="00CB6D02">
        <w:t xml:space="preserve">going forward </w:t>
      </w:r>
      <w:r>
        <w:t>and adjusted, if needed</w:t>
      </w:r>
      <w:r w:rsidR="000A4878">
        <w:t>.</w:t>
      </w:r>
      <w:r w:rsidR="007E3727">
        <w:t xml:space="preserve"> (</w:t>
      </w:r>
      <w:r w:rsidR="02294864">
        <w:t>Tr. 4723</w:t>
      </w:r>
      <w:r w:rsidR="009F7B5F">
        <w:t>.</w:t>
      </w:r>
      <w:r w:rsidR="007E3727">
        <w:t>)</w:t>
      </w:r>
    </w:p>
    <w:p w14:paraId="4832B3AC" w14:textId="35EF42BD" w:rsidR="00E17FC1" w:rsidRPr="004B4080" w:rsidRDefault="00BE73C3" w:rsidP="00810075">
      <w:pPr>
        <w:pStyle w:val="Heading3"/>
      </w:pPr>
      <w:bookmarkStart w:id="6" w:name="_Hlk11857157"/>
      <w:bookmarkStart w:id="7" w:name="_Toc202446760"/>
      <w:r w:rsidRPr="00AF0A30">
        <w:t xml:space="preserve">Georgia Power’s 26% Winter </w:t>
      </w:r>
      <w:proofErr w:type="spellStart"/>
      <w:r w:rsidRPr="00AF0A30">
        <w:t>TRM</w:t>
      </w:r>
      <w:proofErr w:type="spellEnd"/>
      <w:r w:rsidRPr="00AF0A30">
        <w:t xml:space="preserve"> and Proposed Summer </w:t>
      </w:r>
      <w:proofErr w:type="spellStart"/>
      <w:r w:rsidRPr="00AF0A30">
        <w:t>TRM</w:t>
      </w:r>
      <w:proofErr w:type="spellEnd"/>
      <w:r w:rsidRPr="00AF0A30">
        <w:t xml:space="preserve"> of 20% should be approved by the Commission</w:t>
      </w:r>
      <w:r w:rsidR="007242C4">
        <w:t>,</w:t>
      </w:r>
      <w:r w:rsidRPr="00AF0A30">
        <w:t xml:space="preserve"> and </w:t>
      </w:r>
      <w:r w:rsidR="000D1B44">
        <w:t xml:space="preserve">PIA </w:t>
      </w:r>
      <w:r w:rsidR="008B3534">
        <w:t xml:space="preserve">Staff and </w:t>
      </w:r>
      <w:r w:rsidRPr="00AF0A30">
        <w:t xml:space="preserve">Intervenor recommendations </w:t>
      </w:r>
      <w:r w:rsidR="00684687">
        <w:t xml:space="preserve">to reduce the </w:t>
      </w:r>
      <w:proofErr w:type="spellStart"/>
      <w:r w:rsidR="00684687">
        <w:t>TRM</w:t>
      </w:r>
      <w:proofErr w:type="spellEnd"/>
      <w:r w:rsidRPr="00AF0A30">
        <w:t xml:space="preserve"> should be rejected</w:t>
      </w:r>
      <w:r w:rsidR="00774707" w:rsidRPr="00AF0A30">
        <w:t>.</w:t>
      </w:r>
      <w:bookmarkEnd w:id="7"/>
    </w:p>
    <w:p w14:paraId="0867ED19" w14:textId="6ABDAE48" w:rsidR="00520787" w:rsidRDefault="00520787" w:rsidP="19DCCD72">
      <w:pPr>
        <w:pStyle w:val="SSBodyText"/>
        <w:rPr>
          <w:lang w:eastAsia="en-US"/>
        </w:rPr>
      </w:pPr>
      <w:r>
        <w:t xml:space="preserve">The Commission should approve the 26% Winter </w:t>
      </w:r>
      <w:r w:rsidR="00202C30">
        <w:t>T</w:t>
      </w:r>
      <w:r w:rsidR="008D47A2">
        <w:t>arget Reserve Margin (“</w:t>
      </w:r>
      <w:proofErr w:type="spellStart"/>
      <w:r w:rsidR="008D47A2">
        <w:t>TRM</w:t>
      </w:r>
      <w:proofErr w:type="spellEnd"/>
      <w:r w:rsidR="008D47A2">
        <w:t>”) value</w:t>
      </w:r>
      <w:r>
        <w:t xml:space="preserve"> and Proposed Summer 20% </w:t>
      </w:r>
      <w:proofErr w:type="spellStart"/>
      <w:r>
        <w:t>TRM</w:t>
      </w:r>
      <w:proofErr w:type="spellEnd"/>
      <w:r>
        <w:t xml:space="preserve"> </w:t>
      </w:r>
      <w:r w:rsidR="00A17F8C">
        <w:t xml:space="preserve">value </w:t>
      </w:r>
      <w:r>
        <w:t>as reasonable and appropriate for the 2025 IRP.</w:t>
      </w:r>
      <w:r w:rsidRPr="19DCCD72">
        <w:rPr>
          <w:lang w:eastAsia="en-US"/>
        </w:rPr>
        <w:t xml:space="preserve"> </w:t>
      </w:r>
      <w:r w:rsidR="00BD4707" w:rsidRPr="19DCCD72">
        <w:rPr>
          <w:lang w:eastAsia="en-US"/>
        </w:rPr>
        <w:t xml:space="preserve">Based on prior decisions by the Commission, the Company already plans to a 26% Winter </w:t>
      </w:r>
      <w:proofErr w:type="spellStart"/>
      <w:r w:rsidR="00BD4707" w:rsidRPr="19DCCD72">
        <w:rPr>
          <w:lang w:eastAsia="en-US"/>
        </w:rPr>
        <w:t>TRM</w:t>
      </w:r>
      <w:proofErr w:type="spellEnd"/>
      <w:r w:rsidR="46AF7F8D" w:rsidRPr="355EF0F9">
        <w:rPr>
          <w:lang w:eastAsia="en-US"/>
        </w:rPr>
        <w:t xml:space="preserve"> </w:t>
      </w:r>
      <w:r w:rsidR="46AF7F8D" w:rsidRPr="51904164">
        <w:rPr>
          <w:lang w:eastAsia="en-US"/>
        </w:rPr>
        <w:t>value</w:t>
      </w:r>
      <w:r w:rsidR="00BD4707" w:rsidRPr="19DCCD72">
        <w:rPr>
          <w:lang w:eastAsia="en-US"/>
        </w:rPr>
        <w:t xml:space="preserve">, and that level should be approved. </w:t>
      </w:r>
      <w:r w:rsidR="7B6D4933" w:rsidRPr="19DCCD72">
        <w:rPr>
          <w:lang w:eastAsia="en-US"/>
        </w:rPr>
        <w:t xml:space="preserve">(Tr. 129.) </w:t>
      </w:r>
      <w:r w:rsidRPr="19DCCD72">
        <w:rPr>
          <w:lang w:eastAsia="en-US"/>
        </w:rPr>
        <w:t xml:space="preserve">The 20% Summer </w:t>
      </w:r>
      <w:proofErr w:type="spellStart"/>
      <w:r w:rsidRPr="19DCCD72">
        <w:rPr>
          <w:lang w:eastAsia="en-US"/>
        </w:rPr>
        <w:t>TRM</w:t>
      </w:r>
      <w:proofErr w:type="spellEnd"/>
      <w:r w:rsidR="00BD4707" w:rsidRPr="19DCCD72">
        <w:rPr>
          <w:lang w:eastAsia="en-US"/>
        </w:rPr>
        <w:t xml:space="preserve"> </w:t>
      </w:r>
      <w:r w:rsidR="44CE0D3F" w:rsidRPr="32E55572">
        <w:rPr>
          <w:lang w:eastAsia="en-US"/>
        </w:rPr>
        <w:t xml:space="preserve">value </w:t>
      </w:r>
      <w:r w:rsidR="00BD4707" w:rsidRPr="19DCCD72">
        <w:rPr>
          <w:lang w:eastAsia="en-US"/>
        </w:rPr>
        <w:t xml:space="preserve">represents </w:t>
      </w:r>
      <w:r w:rsidRPr="19DCCD72">
        <w:rPr>
          <w:lang w:eastAsia="en-US"/>
        </w:rPr>
        <w:t xml:space="preserve">an increase from the currently approved 16.25% Summer </w:t>
      </w:r>
      <w:proofErr w:type="spellStart"/>
      <w:r w:rsidRPr="19DCCD72">
        <w:rPr>
          <w:lang w:eastAsia="en-US"/>
        </w:rPr>
        <w:t>TRM</w:t>
      </w:r>
      <w:proofErr w:type="spellEnd"/>
      <w:r w:rsidR="1478A296" w:rsidRPr="32E55572">
        <w:rPr>
          <w:lang w:eastAsia="en-US"/>
        </w:rPr>
        <w:t xml:space="preserve"> </w:t>
      </w:r>
      <w:r w:rsidR="1478A296" w:rsidRPr="57BA0AD6">
        <w:rPr>
          <w:lang w:eastAsia="en-US"/>
        </w:rPr>
        <w:t>value</w:t>
      </w:r>
      <w:r w:rsidRPr="57BA0AD6">
        <w:rPr>
          <w:lang w:eastAsia="en-US"/>
        </w:rPr>
        <w:t>.</w:t>
      </w:r>
      <w:r w:rsidRPr="19DCCD72">
        <w:rPr>
          <w:lang w:eastAsia="en-US"/>
        </w:rPr>
        <w:t xml:space="preserve"> (</w:t>
      </w:r>
      <w:r w:rsidR="00120D87" w:rsidRPr="00E40F21">
        <w:rPr>
          <w:i/>
          <w:iCs/>
          <w:lang w:eastAsia="en-US"/>
        </w:rPr>
        <w:t>Id</w:t>
      </w:r>
      <w:r w:rsidR="00202C30" w:rsidRPr="00E40F21">
        <w:rPr>
          <w:i/>
          <w:lang w:eastAsia="en-US"/>
        </w:rPr>
        <w:t>.</w:t>
      </w:r>
      <w:r w:rsidRPr="19DCCD72">
        <w:rPr>
          <w:lang w:eastAsia="en-US"/>
        </w:rPr>
        <w:t>)</w:t>
      </w:r>
    </w:p>
    <w:p w14:paraId="15FF8784" w14:textId="290CFF81" w:rsidR="00520787" w:rsidRDefault="00520787" w:rsidP="00520787">
      <w:pPr>
        <w:pStyle w:val="SSBodyText"/>
      </w:pPr>
      <w:r>
        <w:t>Because the Company uses the reserve margin for reliability planning purposes</w:t>
      </w:r>
      <w:r w:rsidR="6DB23081">
        <w:t xml:space="preserve"> (Tr. 127)</w:t>
      </w:r>
      <w:r>
        <w:t xml:space="preserve">, a lower </w:t>
      </w:r>
      <w:proofErr w:type="spellStart"/>
      <w:r>
        <w:t>TRM</w:t>
      </w:r>
      <w:proofErr w:type="spellEnd"/>
      <w:r>
        <w:t xml:space="preserve"> could lead to significant reliability concerns, an issue that is seeing real and major consequences around the country. For example, </w:t>
      </w:r>
      <w:r w:rsidR="00A016BF">
        <w:t>in May 2025</w:t>
      </w:r>
      <w:r>
        <w:t xml:space="preserve">, </w:t>
      </w:r>
      <w:r w:rsidR="0032659E">
        <w:t>a</w:t>
      </w:r>
      <w:r w:rsidR="008D47A2">
        <w:t xml:space="preserve"> regional transmission </w:t>
      </w:r>
      <w:r w:rsidR="0032659E">
        <w:t xml:space="preserve">organization ordered </w:t>
      </w:r>
      <w:r>
        <w:t xml:space="preserve">utility load shedding </w:t>
      </w:r>
      <w:r w:rsidR="0009028B">
        <w:t xml:space="preserve">in and around New Orleans </w:t>
      </w:r>
      <w:r>
        <w:t xml:space="preserve">to avoid blackouts due to increased customer demand, transmission constraints, and generation outages leading to an inability to serve </w:t>
      </w:r>
      <w:r>
        <w:lastRenderedPageBreak/>
        <w:t>load. (</w:t>
      </w:r>
      <w:r w:rsidR="7B441CDA">
        <w:t>Tr. 4737</w:t>
      </w:r>
      <w:r w:rsidR="00417938">
        <w:t>.</w:t>
      </w:r>
      <w:r>
        <w:t xml:space="preserve">) </w:t>
      </w:r>
      <w:r w:rsidR="37F94D04">
        <w:t xml:space="preserve">Further, </w:t>
      </w:r>
      <w:r w:rsidR="00FA3DFD">
        <w:t>during Winter Storm Elliott in December 2022</w:t>
      </w:r>
      <w:r w:rsidR="5616C0FC">
        <w:t xml:space="preserve">, </w:t>
      </w:r>
      <w:r w:rsidR="00733D3A">
        <w:t xml:space="preserve">many </w:t>
      </w:r>
      <w:r w:rsidR="34C92393">
        <w:t xml:space="preserve">Southeastern utilities were required to shed load, but Georgia Power was able to avoid </w:t>
      </w:r>
      <w:r w:rsidR="00B576B8">
        <w:t>shedding load</w:t>
      </w:r>
      <w:r w:rsidR="34C92393">
        <w:t xml:space="preserve"> due in part to its reserve margin. Finally, as noted during</w:t>
      </w:r>
      <w:r w:rsidR="00074A9D">
        <w:t xml:space="preserve"> the</w:t>
      </w:r>
      <w:r w:rsidR="34C92393">
        <w:t xml:space="preserve"> Rebuttal </w:t>
      </w:r>
      <w:r w:rsidR="00074A9D">
        <w:t>H</w:t>
      </w:r>
      <w:r w:rsidR="34C92393">
        <w:t xml:space="preserve">earing </w:t>
      </w:r>
      <w:r w:rsidR="00D96167">
        <w:t xml:space="preserve">the week of June 23, </w:t>
      </w:r>
      <w:r w:rsidR="00130BB0">
        <w:t>2025</w:t>
      </w:r>
      <w:r w:rsidR="40A9BD24">
        <w:t>,</w:t>
      </w:r>
      <w:r w:rsidR="00E146EA">
        <w:t xml:space="preserve"> during hot summer temperatures</w:t>
      </w:r>
      <w:r w:rsidR="00DF7463">
        <w:t>, a number of</w:t>
      </w:r>
      <w:r w:rsidR="006D0C75" w:rsidRPr="006D0C75">
        <w:t xml:space="preserve"> </w:t>
      </w:r>
      <w:r w:rsidR="006D0C75">
        <w:t xml:space="preserve">regional utilities </w:t>
      </w:r>
      <w:r w:rsidR="00FE072B">
        <w:t xml:space="preserve">publicly </w:t>
      </w:r>
      <w:r w:rsidR="003100B4">
        <w:t>asked</w:t>
      </w:r>
      <w:r w:rsidR="00FE072B">
        <w:t xml:space="preserve"> customers </w:t>
      </w:r>
      <w:r w:rsidR="003100B4">
        <w:t xml:space="preserve">to </w:t>
      </w:r>
      <w:r w:rsidR="00FE072B">
        <w:t xml:space="preserve">engage in </w:t>
      </w:r>
      <w:r w:rsidR="003100B4">
        <w:t xml:space="preserve">energy </w:t>
      </w:r>
      <w:r w:rsidR="00FE072B">
        <w:t xml:space="preserve">conversation measures to avoid overburdening </w:t>
      </w:r>
      <w:r w:rsidR="003053DE">
        <w:t>the power grid</w:t>
      </w:r>
      <w:r w:rsidR="37DA6240">
        <w:t>.</w:t>
      </w:r>
      <w:r w:rsidR="385C5503">
        <w:t xml:space="preserve"> (</w:t>
      </w:r>
      <w:r w:rsidR="5C8DDB1A" w:rsidRPr="54A0C814">
        <w:rPr>
          <w:i/>
          <w:iCs/>
        </w:rPr>
        <w:t xml:space="preserve">See </w:t>
      </w:r>
      <w:r w:rsidR="5C8DDB1A">
        <w:t xml:space="preserve">Tr. 4840.) </w:t>
      </w:r>
      <w:r w:rsidR="7F2977B5">
        <w:t xml:space="preserve">These occurrences </w:t>
      </w:r>
      <w:r w:rsidR="62898BF7">
        <w:t>all illustrate</w:t>
      </w:r>
      <w:r w:rsidR="00FA3DFD">
        <w:t xml:space="preserve"> why sufficient reserve margins are essential to reliable service</w:t>
      </w:r>
      <w:r w:rsidR="00417938">
        <w:t>.</w:t>
      </w:r>
      <w:r w:rsidR="00E80EED">
        <w:t xml:space="preserve"> </w:t>
      </w:r>
    </w:p>
    <w:p w14:paraId="3A115F46" w14:textId="22D08006" w:rsidR="006A6239" w:rsidRDefault="002847D0" w:rsidP="00520787">
      <w:pPr>
        <w:pStyle w:val="SSBodyText"/>
      </w:pPr>
      <w:r>
        <w:rPr>
          <w:lang w:eastAsia="en-US"/>
        </w:rPr>
        <w:t xml:space="preserve">PIA </w:t>
      </w:r>
      <w:r w:rsidR="00520787">
        <w:rPr>
          <w:lang w:eastAsia="en-US"/>
        </w:rPr>
        <w:t xml:space="preserve">Staff Witnesses Newsome, </w:t>
      </w:r>
      <w:proofErr w:type="spellStart"/>
      <w:r w:rsidR="00520787">
        <w:rPr>
          <w:lang w:eastAsia="en-US"/>
        </w:rPr>
        <w:t>Hayet</w:t>
      </w:r>
      <w:proofErr w:type="spellEnd"/>
      <w:r w:rsidR="00520787">
        <w:rPr>
          <w:lang w:eastAsia="en-US"/>
        </w:rPr>
        <w:t xml:space="preserve">, </w:t>
      </w:r>
      <w:proofErr w:type="spellStart"/>
      <w:r w:rsidR="00520787">
        <w:rPr>
          <w:lang w:eastAsia="en-US"/>
        </w:rPr>
        <w:t>Sandonato</w:t>
      </w:r>
      <w:proofErr w:type="spellEnd"/>
      <w:r w:rsidR="00520787">
        <w:rPr>
          <w:lang w:eastAsia="en-US"/>
        </w:rPr>
        <w:t xml:space="preserve">, and Wellborn contend that the Company’s proposed 26% Winter </w:t>
      </w:r>
      <w:proofErr w:type="spellStart"/>
      <w:r w:rsidR="00520787">
        <w:rPr>
          <w:lang w:eastAsia="en-US"/>
        </w:rPr>
        <w:t>TRM</w:t>
      </w:r>
      <w:proofErr w:type="spellEnd"/>
      <w:r w:rsidR="00520787">
        <w:rPr>
          <w:lang w:eastAsia="en-US"/>
        </w:rPr>
        <w:t xml:space="preserve"> </w:t>
      </w:r>
      <w:r w:rsidR="18C27DB6" w:rsidRPr="737F0BBE">
        <w:rPr>
          <w:lang w:eastAsia="en-US"/>
        </w:rPr>
        <w:t xml:space="preserve">value </w:t>
      </w:r>
      <w:r w:rsidR="00520787">
        <w:rPr>
          <w:lang w:eastAsia="en-US"/>
        </w:rPr>
        <w:t>is too high, alleging that (1) the Company’s Load Forecast Error (“</w:t>
      </w:r>
      <w:proofErr w:type="spellStart"/>
      <w:r w:rsidR="00520787">
        <w:rPr>
          <w:lang w:eastAsia="en-US"/>
        </w:rPr>
        <w:t>LFE</w:t>
      </w:r>
      <w:proofErr w:type="spellEnd"/>
      <w:r w:rsidR="00520787">
        <w:rPr>
          <w:lang w:eastAsia="en-US"/>
        </w:rPr>
        <w:t xml:space="preserve">”) distribution is overstated; (2) the Company’s data center load assumptions contributed to an overstated </w:t>
      </w:r>
      <w:proofErr w:type="spellStart"/>
      <w:r w:rsidR="00520787">
        <w:rPr>
          <w:lang w:eastAsia="en-US"/>
        </w:rPr>
        <w:t>TRM</w:t>
      </w:r>
      <w:proofErr w:type="spellEnd"/>
      <w:r w:rsidR="00520787">
        <w:rPr>
          <w:lang w:eastAsia="en-US"/>
        </w:rPr>
        <w:t xml:space="preserve">; (3) the Company’s cold weather data training models overstated weather-adjusted load for certain extremely low temperature conditions; and (4) the removal of a single month of cold weather would reduce the </w:t>
      </w:r>
      <w:r w:rsidR="009559FB">
        <w:rPr>
          <w:lang w:eastAsia="en-US"/>
        </w:rPr>
        <w:t>W</w:t>
      </w:r>
      <w:r w:rsidR="00520787">
        <w:rPr>
          <w:lang w:eastAsia="en-US"/>
        </w:rPr>
        <w:t xml:space="preserve">inter </w:t>
      </w:r>
      <w:proofErr w:type="spellStart"/>
      <w:r w:rsidR="00520787">
        <w:rPr>
          <w:lang w:eastAsia="en-US"/>
        </w:rPr>
        <w:t>TRM</w:t>
      </w:r>
      <w:proofErr w:type="spellEnd"/>
      <w:r w:rsidR="00520787">
        <w:rPr>
          <w:lang w:eastAsia="en-US"/>
        </w:rPr>
        <w:t xml:space="preserve"> to less than 24%. </w:t>
      </w:r>
      <w:r w:rsidR="00E80EED">
        <w:rPr>
          <w:lang w:eastAsia="en-US"/>
        </w:rPr>
        <w:t>(Tr. 1629–32</w:t>
      </w:r>
      <w:r>
        <w:rPr>
          <w:lang w:eastAsia="en-US"/>
        </w:rPr>
        <w:t>.</w:t>
      </w:r>
      <w:r w:rsidR="00E80EED">
        <w:rPr>
          <w:lang w:eastAsia="en-US"/>
        </w:rPr>
        <w:t xml:space="preserve">) </w:t>
      </w:r>
      <w:r>
        <w:rPr>
          <w:lang w:eastAsia="en-US"/>
        </w:rPr>
        <w:t xml:space="preserve">PIA </w:t>
      </w:r>
      <w:r w:rsidR="00520787" w:rsidRPr="009841B2">
        <w:t xml:space="preserve">Staff’s proposed </w:t>
      </w:r>
      <w:proofErr w:type="spellStart"/>
      <w:r w:rsidR="00520787" w:rsidRPr="009841B2">
        <w:t>LFE</w:t>
      </w:r>
      <w:proofErr w:type="spellEnd"/>
      <w:r w:rsidR="00520787" w:rsidRPr="009841B2">
        <w:t xml:space="preserve"> distribution is unreasonabl</w:t>
      </w:r>
      <w:r w:rsidR="00520787">
        <w:t>e</w:t>
      </w:r>
      <w:r w:rsidR="0073528F">
        <w:t xml:space="preserve">, </w:t>
      </w:r>
      <w:r w:rsidR="00520787">
        <w:t>a</w:t>
      </w:r>
      <w:r w:rsidR="00520787" w:rsidRPr="009841B2">
        <w:t>s demonstrated in the record</w:t>
      </w:r>
      <w:r w:rsidR="0073528F">
        <w:t>.</w:t>
      </w:r>
      <w:r w:rsidR="00520787" w:rsidRPr="009841B2">
        <w:t xml:space="preserve"> </w:t>
      </w:r>
      <w:r w:rsidR="0073528F">
        <w:t>T</w:t>
      </w:r>
      <w:r w:rsidR="0073528F" w:rsidRPr="009841B2">
        <w:t xml:space="preserve">he </w:t>
      </w:r>
      <w:proofErr w:type="spellStart"/>
      <w:r w:rsidR="00520787" w:rsidRPr="009841B2">
        <w:t>LFE</w:t>
      </w:r>
      <w:proofErr w:type="spellEnd"/>
      <w:r w:rsidR="00520787" w:rsidRPr="009841B2">
        <w:t xml:space="preserve"> distributions </w:t>
      </w:r>
      <w:r w:rsidR="00E80EED">
        <w:t xml:space="preserve">of </w:t>
      </w:r>
      <w:r w:rsidR="00520787" w:rsidRPr="009841B2">
        <w:t xml:space="preserve">Santee Cooper, </w:t>
      </w:r>
      <w:r w:rsidR="00520787">
        <w:t xml:space="preserve">a utility whose </w:t>
      </w:r>
      <w:proofErr w:type="spellStart"/>
      <w:r w:rsidR="00520787">
        <w:t>LFE</w:t>
      </w:r>
      <w:proofErr w:type="spellEnd"/>
      <w:r w:rsidR="00520787">
        <w:t xml:space="preserve"> </w:t>
      </w:r>
      <w:r w:rsidR="0032659E">
        <w:t xml:space="preserve">PIA </w:t>
      </w:r>
      <w:r w:rsidR="00520787">
        <w:t>Staff acknowledges is reasonable</w:t>
      </w:r>
      <w:r w:rsidR="00520787" w:rsidRPr="009841B2">
        <w:t xml:space="preserve">, </w:t>
      </w:r>
      <w:r w:rsidR="00520787">
        <w:t xml:space="preserve">and Georgia Power </w:t>
      </w:r>
      <w:r w:rsidR="00520787" w:rsidRPr="009841B2">
        <w:t xml:space="preserve">are similar in both shape </w:t>
      </w:r>
      <w:r w:rsidR="0031619C">
        <w:t>and</w:t>
      </w:r>
      <w:r w:rsidR="00520787" w:rsidRPr="009841B2">
        <w:t xml:space="preserve"> size.</w:t>
      </w:r>
      <w:r w:rsidR="00520787">
        <w:t xml:space="preserve"> </w:t>
      </w:r>
      <w:r w:rsidR="00E80EED">
        <w:t>(</w:t>
      </w:r>
      <w:r w:rsidR="1BBA6E72">
        <w:t>Tr. 4742.</w:t>
      </w:r>
      <w:r w:rsidR="00E80EED">
        <w:t xml:space="preserve">) </w:t>
      </w:r>
      <w:r w:rsidR="0056761B">
        <w:t xml:space="preserve">PIA </w:t>
      </w:r>
      <w:r w:rsidR="0073528F">
        <w:t xml:space="preserve">Staff’s recommended </w:t>
      </w:r>
      <w:proofErr w:type="spellStart"/>
      <w:r w:rsidR="0073528F">
        <w:t>LFE</w:t>
      </w:r>
      <w:proofErr w:type="spellEnd"/>
      <w:r w:rsidR="0073528F">
        <w:t xml:space="preserve"> distribution, on the other hand, is unreasonably narrow and </w:t>
      </w:r>
      <w:r w:rsidR="006A6239">
        <w:t>unsupported.</w:t>
      </w:r>
      <w:r w:rsidR="006A6239" w:rsidRPr="2434A1BF">
        <w:rPr>
          <w:i/>
        </w:rPr>
        <w:t xml:space="preserve"> </w:t>
      </w:r>
      <w:r w:rsidR="307D676B" w:rsidRPr="1DC4E80E">
        <w:t>(</w:t>
      </w:r>
      <w:r w:rsidR="307D676B" w:rsidRPr="1DC4E80E">
        <w:rPr>
          <w:i/>
          <w:iCs/>
        </w:rPr>
        <w:t xml:space="preserve">See </w:t>
      </w:r>
      <w:r w:rsidR="307D676B">
        <w:t xml:space="preserve">Tr. 4742.) </w:t>
      </w:r>
      <w:r w:rsidR="006A6239">
        <w:t xml:space="preserve">Regarding data center load, the Company agrees that additional analysis would be beneficial and will continue to </w:t>
      </w:r>
      <w:r w:rsidR="00C34D29">
        <w:t>consider new and emerging</w:t>
      </w:r>
      <w:r w:rsidR="006A6239">
        <w:t xml:space="preserve"> data on that </w:t>
      </w:r>
      <w:r w:rsidR="00032A07">
        <w:t>issue</w:t>
      </w:r>
      <w:r w:rsidR="006A6239">
        <w:t xml:space="preserve">. </w:t>
      </w:r>
      <w:r w:rsidR="4CA00756">
        <w:t xml:space="preserve">As noted in </w:t>
      </w:r>
      <w:r w:rsidR="00733D3A">
        <w:t xml:space="preserve">Georgia Power’s </w:t>
      </w:r>
      <w:r w:rsidR="4CA00756">
        <w:t>Main Panel Rebuttal Testimony, t</w:t>
      </w:r>
      <w:r w:rsidR="4CA00756" w:rsidRPr="1DC4E80E">
        <w:rPr>
          <w:rFonts w:eastAsia="Times New Roman"/>
        </w:rPr>
        <w:t>he</w:t>
      </w:r>
      <w:r w:rsidR="4CA00756" w:rsidRPr="654BE8E5">
        <w:rPr>
          <w:rFonts w:eastAsia="Times New Roman"/>
        </w:rPr>
        <w:t xml:space="preserve"> Company is open to revising and refining its modeling approach if future developments warrant such adjustments, but only after additional information on the data center industry becomes available.</w:t>
      </w:r>
      <w:r w:rsidR="4CA00756" w:rsidRPr="654BE8E5">
        <w:t xml:space="preserve"> </w:t>
      </w:r>
      <w:r w:rsidR="5EC0CB03">
        <w:t>(</w:t>
      </w:r>
      <w:r w:rsidR="61E440B9">
        <w:t>Tr. 4744.</w:t>
      </w:r>
      <w:r w:rsidR="5EC0CB03">
        <w:t>)</w:t>
      </w:r>
      <w:r w:rsidR="4DEE91C1">
        <w:t xml:space="preserve"> </w:t>
      </w:r>
      <w:r w:rsidR="4CA00756">
        <w:t>T</w:t>
      </w:r>
      <w:r w:rsidR="4CA00756" w:rsidRPr="71A89F24">
        <w:rPr>
          <w:rFonts w:eastAsia="Times New Roman"/>
        </w:rPr>
        <w:t>he</w:t>
      </w:r>
      <w:r w:rsidR="4CA00756" w:rsidRPr="654BE8E5">
        <w:rPr>
          <w:rFonts w:eastAsia="Times New Roman"/>
        </w:rPr>
        <w:t xml:space="preserve"> Company does not agree with reducing the reserve margin based on potential data center load patterns at this time.</w:t>
      </w:r>
      <w:r w:rsidR="4CA00756" w:rsidRPr="654BE8E5">
        <w:t xml:space="preserve"> </w:t>
      </w:r>
      <w:r w:rsidR="1897C3AE" w:rsidRPr="2434A1BF">
        <w:t>(</w:t>
      </w:r>
      <w:r w:rsidR="1897C3AE" w:rsidRPr="2434A1BF">
        <w:rPr>
          <w:i/>
        </w:rPr>
        <w:t>Id</w:t>
      </w:r>
      <w:r w:rsidR="1897C3AE" w:rsidRPr="009A2BB7">
        <w:rPr>
          <w:i/>
        </w:rPr>
        <w:t>.</w:t>
      </w:r>
      <w:r w:rsidR="1897C3AE" w:rsidRPr="3E5DC820">
        <w:t>)</w:t>
      </w:r>
    </w:p>
    <w:p w14:paraId="06FE859C" w14:textId="706CA572" w:rsidR="00520787" w:rsidRPr="00AB451F" w:rsidRDefault="00A72DC2" w:rsidP="00520787">
      <w:pPr>
        <w:pStyle w:val="SSBodyText"/>
      </w:pPr>
      <w:r>
        <w:lastRenderedPageBreak/>
        <w:t>Regarding</w:t>
      </w:r>
      <w:r w:rsidR="006A6239">
        <w:t xml:space="preserve"> the </w:t>
      </w:r>
      <w:r>
        <w:t>final two recommendations</w:t>
      </w:r>
      <w:r w:rsidR="00520787">
        <w:t xml:space="preserve">, </w:t>
      </w:r>
      <w:r w:rsidR="00A0170C">
        <w:t xml:space="preserve">which relate to the </w:t>
      </w:r>
      <w:r w:rsidR="00927051">
        <w:t>inclusion of extreme</w:t>
      </w:r>
      <w:r w:rsidR="006A4267">
        <w:t xml:space="preserve"> temperature conditions, </w:t>
      </w:r>
      <w:r w:rsidR="0032671C">
        <w:t xml:space="preserve">PIA </w:t>
      </w:r>
      <w:r w:rsidR="006A6239">
        <w:t xml:space="preserve">Staff failed to justify why real, actual data should be ignored simply because it has a significant impact on the analysis. </w:t>
      </w:r>
      <w:r w:rsidR="002F7101">
        <w:t xml:space="preserve">PIA </w:t>
      </w:r>
      <w:r w:rsidR="006A6239">
        <w:t xml:space="preserve">Staff admits that </w:t>
      </w:r>
      <w:r>
        <w:t>such extreme temperatures are possible, and failed to explain why the Company should ignore such data when planning for reliable service to customers.</w:t>
      </w:r>
      <w:r w:rsidR="00E80EED">
        <w:t xml:space="preserve"> (</w:t>
      </w:r>
      <w:r w:rsidR="6FC7C55C">
        <w:t>Tr. 4744</w:t>
      </w:r>
      <w:r w:rsidR="003F05B1">
        <w:t>–</w:t>
      </w:r>
      <w:r w:rsidR="6FC7C55C">
        <w:t>45</w:t>
      </w:r>
      <w:r w:rsidR="0031619C">
        <w:t>.</w:t>
      </w:r>
      <w:r w:rsidR="00E80EED">
        <w:t>)</w:t>
      </w:r>
      <w:r w:rsidR="00520787">
        <w:t xml:space="preserve"> </w:t>
      </w:r>
      <w:r>
        <w:t>I</w:t>
      </w:r>
      <w:r w:rsidR="00520787" w:rsidRPr="003742E9">
        <w:t>t is reasonable to expect that a small subset of weather years will have a significant impact on the results</w:t>
      </w:r>
      <w:r w:rsidR="00520787">
        <w:t xml:space="preserve"> of the Reserve Margin Study, and exclusion of this data </w:t>
      </w:r>
      <w:r w:rsidR="00520787" w:rsidRPr="003742E9">
        <w:t>simply shifts the reliability risk for customers to higher temperatures</w:t>
      </w:r>
      <w:r w:rsidR="0031619C">
        <w:t>.</w:t>
      </w:r>
      <w:r w:rsidR="00E80EED">
        <w:t xml:space="preserve"> (</w:t>
      </w:r>
      <w:r w:rsidR="4BECBBE2">
        <w:t>Tr. 4745</w:t>
      </w:r>
      <w:r w:rsidR="0031619C">
        <w:t>.</w:t>
      </w:r>
      <w:r w:rsidR="00E80EED">
        <w:t>)</w:t>
      </w:r>
    </w:p>
    <w:p w14:paraId="520760A5" w14:textId="13B23D5A" w:rsidR="00520787" w:rsidRDefault="00520787" w:rsidP="00443855">
      <w:pPr>
        <w:pStyle w:val="SSBodyText"/>
      </w:pPr>
      <w:r w:rsidRPr="19DCCD72">
        <w:rPr>
          <w:lang w:eastAsia="en-US"/>
        </w:rPr>
        <w:t xml:space="preserve">Notwithstanding </w:t>
      </w:r>
      <w:r w:rsidR="0031619C" w:rsidRPr="19DCCD72">
        <w:rPr>
          <w:lang w:eastAsia="en-US"/>
        </w:rPr>
        <w:t xml:space="preserve">PIA </w:t>
      </w:r>
      <w:r w:rsidRPr="19DCCD72">
        <w:rPr>
          <w:lang w:eastAsia="en-US"/>
        </w:rPr>
        <w:t xml:space="preserve">Staff’s individual critiques of the Company’s Reserve Margin Study, a reduction of the Company’s Winter </w:t>
      </w:r>
      <w:proofErr w:type="spellStart"/>
      <w:r w:rsidRPr="19DCCD72">
        <w:rPr>
          <w:lang w:eastAsia="en-US"/>
        </w:rPr>
        <w:t>TRM</w:t>
      </w:r>
      <w:proofErr w:type="spellEnd"/>
      <w:r w:rsidRPr="19DCCD72">
        <w:rPr>
          <w:lang w:eastAsia="en-US"/>
        </w:rPr>
        <w:t xml:space="preserve"> to 24.5% should be rejected because the Company’s proposed 26% margin is </w:t>
      </w:r>
      <w:r w:rsidR="00A72DC2" w:rsidRPr="19DCCD72">
        <w:rPr>
          <w:lang w:eastAsia="en-US"/>
        </w:rPr>
        <w:t>necessary to m</w:t>
      </w:r>
      <w:r w:rsidR="00443855" w:rsidRPr="19DCCD72">
        <w:rPr>
          <w:lang w:eastAsia="en-US"/>
        </w:rPr>
        <w:t xml:space="preserve">aintain reliability levels consistent with best utility practice, and to ensure Georgia Power does not have reliability levels lower than nearby states </w:t>
      </w:r>
      <w:r w:rsidR="004015B5">
        <w:rPr>
          <w:lang w:eastAsia="en-US"/>
        </w:rPr>
        <w:t>that</w:t>
      </w:r>
      <w:r w:rsidR="00443855" w:rsidRPr="19DCCD72">
        <w:rPr>
          <w:lang w:eastAsia="en-US"/>
        </w:rPr>
        <w:t xml:space="preserve"> Georgia competes</w:t>
      </w:r>
      <w:r w:rsidR="004015B5">
        <w:rPr>
          <w:lang w:eastAsia="en-US"/>
        </w:rPr>
        <w:t xml:space="preserve"> with</w:t>
      </w:r>
      <w:r w:rsidR="00443855" w:rsidRPr="19DCCD72">
        <w:rPr>
          <w:lang w:eastAsia="en-US"/>
        </w:rPr>
        <w:t xml:space="preserve"> for economic development projects</w:t>
      </w:r>
      <w:r w:rsidRPr="19DCCD72">
        <w:rPr>
          <w:lang w:eastAsia="en-US"/>
        </w:rPr>
        <w:t xml:space="preserve">. The cost required to maintain a higher reserve margin is justified and reasonable in light of the significant costs that customers could otherwise incur from load shedding and </w:t>
      </w:r>
      <w:r w:rsidR="20DC2B68" w:rsidRPr="19DCCD72">
        <w:rPr>
          <w:lang w:eastAsia="en-US"/>
        </w:rPr>
        <w:t>large-scale</w:t>
      </w:r>
      <w:r w:rsidRPr="19DCCD72">
        <w:rPr>
          <w:lang w:eastAsia="en-US"/>
        </w:rPr>
        <w:t xml:space="preserve"> blackouts—costs that do not necessarily appear on customer bills</w:t>
      </w:r>
      <w:r w:rsidR="00967BCA" w:rsidRPr="19DCCD72">
        <w:rPr>
          <w:lang w:eastAsia="en-US"/>
        </w:rPr>
        <w:t>.</w:t>
      </w:r>
      <w:r w:rsidR="00F147C3" w:rsidRPr="19DCCD72">
        <w:rPr>
          <w:lang w:eastAsia="en-US"/>
        </w:rPr>
        <w:t xml:space="preserve"> </w:t>
      </w:r>
      <w:r w:rsidR="00F147C3" w:rsidRPr="1DC4E80E">
        <w:rPr>
          <w:lang w:eastAsia="en-US"/>
        </w:rPr>
        <w:t>(</w:t>
      </w:r>
      <w:r w:rsidR="63D9C108" w:rsidRPr="1DC4E80E">
        <w:rPr>
          <w:lang w:eastAsia="en-US"/>
        </w:rPr>
        <w:t xml:space="preserve">Tr. </w:t>
      </w:r>
      <w:r w:rsidR="63D9C108" w:rsidRPr="2434A1BF">
        <w:rPr>
          <w:lang w:eastAsia="en-US"/>
        </w:rPr>
        <w:t>4737</w:t>
      </w:r>
      <w:r w:rsidR="00967BCA" w:rsidRPr="2434A1BF">
        <w:rPr>
          <w:lang w:eastAsia="en-US"/>
        </w:rPr>
        <w:t>.</w:t>
      </w:r>
      <w:r w:rsidR="00F147C3" w:rsidRPr="2434A1BF">
        <w:rPr>
          <w:lang w:eastAsia="en-US"/>
        </w:rPr>
        <w:t>)</w:t>
      </w:r>
      <w:r w:rsidR="5018C83E" w:rsidRPr="19DCCD72">
        <w:rPr>
          <w:lang w:eastAsia="en-US"/>
        </w:rPr>
        <w:t xml:space="preserve"> </w:t>
      </w:r>
      <w:r>
        <w:t xml:space="preserve">Accordingly, the Company’s Reserve Margin Study, along with the Company’s recommended System long-term </w:t>
      </w:r>
      <w:r w:rsidR="009559FB">
        <w:t>W</w:t>
      </w:r>
      <w:r>
        <w:t xml:space="preserve">inter </w:t>
      </w:r>
      <w:proofErr w:type="spellStart"/>
      <w:r>
        <w:t>TRM</w:t>
      </w:r>
      <w:proofErr w:type="spellEnd"/>
      <w:r>
        <w:t xml:space="preserve"> </w:t>
      </w:r>
      <w:r w:rsidR="00A73B68">
        <w:t xml:space="preserve">value </w:t>
      </w:r>
      <w:r>
        <w:t xml:space="preserve">of 26%, long-term </w:t>
      </w:r>
      <w:r w:rsidR="009559FB">
        <w:t>S</w:t>
      </w:r>
      <w:r>
        <w:t xml:space="preserve">ummer </w:t>
      </w:r>
      <w:proofErr w:type="spellStart"/>
      <w:r>
        <w:t>TRM</w:t>
      </w:r>
      <w:proofErr w:type="spellEnd"/>
      <w:r>
        <w:t xml:space="preserve"> </w:t>
      </w:r>
      <w:r w:rsidR="00A73B68">
        <w:t xml:space="preserve">value </w:t>
      </w:r>
      <w:r>
        <w:t xml:space="preserve">of 20%, and the short-term </w:t>
      </w:r>
      <w:proofErr w:type="spellStart"/>
      <w:r>
        <w:t>TRM</w:t>
      </w:r>
      <w:proofErr w:type="spellEnd"/>
      <w:r w:rsidR="004015B5">
        <w:t xml:space="preserve"> values</w:t>
      </w:r>
      <w:r>
        <w:t xml:space="preserve"> associated with each season, should be approved.</w:t>
      </w:r>
    </w:p>
    <w:p w14:paraId="1629F6B1" w14:textId="5F0C04EB" w:rsidR="00C97183" w:rsidRDefault="00C97183" w:rsidP="00810075">
      <w:pPr>
        <w:pStyle w:val="Heading3"/>
      </w:pPr>
      <w:bookmarkStart w:id="8" w:name="_Toc202446761"/>
      <w:r>
        <w:t xml:space="preserve">The Company’s expansion planning modeling and </w:t>
      </w:r>
      <w:r w:rsidR="005510B6">
        <w:t>R</w:t>
      </w:r>
      <w:r>
        <w:t xml:space="preserve">esource </w:t>
      </w:r>
      <w:r w:rsidR="005510B6">
        <w:t>M</w:t>
      </w:r>
      <w:r>
        <w:t xml:space="preserve">ix </w:t>
      </w:r>
      <w:r w:rsidR="005510B6">
        <w:t>S</w:t>
      </w:r>
      <w:r>
        <w:t>tudy are reasonable</w:t>
      </w:r>
      <w:r w:rsidRPr="003311C8">
        <w:t>.</w:t>
      </w:r>
      <w:bookmarkEnd w:id="8"/>
    </w:p>
    <w:p w14:paraId="62E99C7F" w14:textId="1A13B1A8" w:rsidR="00C97183" w:rsidRDefault="00C97183" w:rsidP="007F46B5">
      <w:pPr>
        <w:pStyle w:val="SSBodyText"/>
      </w:pPr>
      <w:r>
        <w:t xml:space="preserve">The Company’s expansion planning analysis identifies the economically optimal mix of resources that reliably meets future </w:t>
      </w:r>
      <w:proofErr w:type="gramStart"/>
      <w:r>
        <w:t>capacity</w:t>
      </w:r>
      <w:proofErr w:type="gramEnd"/>
      <w:r>
        <w:t xml:space="preserve"> and energy demands across several different plausible planning scenarios. (</w:t>
      </w:r>
      <w:r w:rsidR="004015B5">
        <w:rPr>
          <w:i/>
          <w:iCs/>
        </w:rPr>
        <w:t xml:space="preserve">See </w:t>
      </w:r>
      <w:r w:rsidR="00F576EC">
        <w:t xml:space="preserve">Exhibit GPC-1/PD at </w:t>
      </w:r>
      <w:r w:rsidR="00F14DA5">
        <w:t>195</w:t>
      </w:r>
      <w:r w:rsidR="007C048F">
        <w:t>.</w:t>
      </w:r>
      <w:r>
        <w:t xml:space="preserve">) While this step of the planning process </w:t>
      </w:r>
      <w:r>
        <w:lastRenderedPageBreak/>
        <w:t>provides a roadmap that helps inform long-term resource planning decisions, these plans do not represent a formal resource planning decision by the Company, nor are they finalized commitments for specific resources. (</w:t>
      </w:r>
      <w:r w:rsidR="000F4C3B">
        <w:t>Exhibit GPC-1/PD at 195</w:t>
      </w:r>
      <w:r>
        <w:t xml:space="preserve">; </w:t>
      </w:r>
      <w:r w:rsidRPr="004015B5">
        <w:rPr>
          <w:i/>
          <w:iCs/>
        </w:rPr>
        <w:t>see also</w:t>
      </w:r>
      <w:r>
        <w:t xml:space="preserve"> </w:t>
      </w:r>
      <w:r w:rsidR="76B2411B">
        <w:t>Tr. 4746.</w:t>
      </w:r>
      <w:r>
        <w:t xml:space="preserve">) The Company </w:t>
      </w:r>
      <w:r w:rsidR="41057558">
        <w:t>procures</w:t>
      </w:r>
      <w:r>
        <w:t xml:space="preserve"> supply-side resources through a</w:t>
      </w:r>
      <w:r w:rsidR="00954C09">
        <w:t xml:space="preserve"> Request for Proposals (“</w:t>
      </w:r>
      <w:r>
        <w:t>RFP</w:t>
      </w:r>
      <w:r w:rsidR="00954C09">
        <w:t>”)</w:t>
      </w:r>
      <w:r>
        <w:t xml:space="preserve"> process, so the results of this analysis do not drive the Company’s specific resource actions. (</w:t>
      </w:r>
      <w:r w:rsidR="493E579E">
        <w:t>Tr. 4746.</w:t>
      </w:r>
      <w:r>
        <w:t>)</w:t>
      </w:r>
    </w:p>
    <w:p w14:paraId="372596D1" w14:textId="77777777" w:rsidR="00C97183" w:rsidRDefault="00C97183" w:rsidP="001C1A9D">
      <w:pPr>
        <w:pStyle w:val="Heading4"/>
        <w:numPr>
          <w:ilvl w:val="0"/>
          <w:numId w:val="8"/>
        </w:numPr>
        <w:ind w:left="1800"/>
      </w:pPr>
      <w:r>
        <w:t xml:space="preserve">Consistent with industry standard, the Company’s expansion plan modeling uses practical build limits that reflect the real and significant resource decisions that the Company will make. </w:t>
      </w:r>
    </w:p>
    <w:p w14:paraId="3817B23C" w14:textId="23E310AA" w:rsidR="00C97183" w:rsidRDefault="00C97183" w:rsidP="007F46B5">
      <w:pPr>
        <w:pStyle w:val="SSBodyText"/>
      </w:pPr>
      <w:r>
        <w:t>Build limits are an important part of the Company’s expansion planning process</w:t>
      </w:r>
      <w:r w:rsidR="00A5346F">
        <w:t>, as the Company’s expansion plans</w:t>
      </w:r>
      <w:r>
        <w:t xml:space="preserve"> are used to evaluate subsequent resource decisions</w:t>
      </w:r>
      <w:r w:rsidR="00A5346F">
        <w:t>. Therefore,</w:t>
      </w:r>
      <w:r>
        <w:t xml:space="preserve"> it is important for the Company to assume practical and realistic build limits for all resources in its mix analysis. (</w:t>
      </w:r>
      <w:r w:rsidR="66135D62">
        <w:t>Tr. 4747</w:t>
      </w:r>
      <w:r w:rsidR="00BA64D1">
        <w:t>.</w:t>
      </w:r>
      <w:r>
        <w:t>)</w:t>
      </w:r>
    </w:p>
    <w:p w14:paraId="001D6744" w14:textId="6CF1AC33" w:rsidR="00C97183" w:rsidRDefault="00C97183" w:rsidP="007F46B5">
      <w:pPr>
        <w:pStyle w:val="SSBodyText"/>
      </w:pPr>
      <w:r>
        <w:t xml:space="preserve">Certain Intervenors argue that the Company’s AURORA modeling program might seek to build more solar, wind, or other renewable resources if the build limits were relaxed. For example, </w:t>
      </w:r>
      <w:proofErr w:type="spellStart"/>
      <w:r>
        <w:t>GCVEF</w:t>
      </w:r>
      <w:proofErr w:type="spellEnd"/>
      <w:r>
        <w:t xml:space="preserve"> Witness </w:t>
      </w:r>
      <w:proofErr w:type="spellStart"/>
      <w:r>
        <w:t>Roumpani</w:t>
      </w:r>
      <w:proofErr w:type="spellEnd"/>
      <w:r>
        <w:t xml:space="preserve"> recommends a justification for annual build limits and recommends exploring conditions under which the limits could be relaxed, particularly for renewable energy and storage resources</w:t>
      </w:r>
      <w:r w:rsidR="002B3186">
        <w:t>.</w:t>
      </w:r>
      <w:r w:rsidR="00F9408F">
        <w:t xml:space="preserve"> (Tr. 2971, 3001, 3036</w:t>
      </w:r>
      <w:r w:rsidR="002B3186">
        <w:t>.</w:t>
      </w:r>
      <w:r w:rsidR="00F9408F">
        <w:t>)</w:t>
      </w:r>
      <w:r>
        <w:t xml:space="preserve"> </w:t>
      </w:r>
      <w:proofErr w:type="spellStart"/>
      <w:r>
        <w:t>GIPL</w:t>
      </w:r>
      <w:proofErr w:type="spellEnd"/>
      <w:r w:rsidR="002B3186">
        <w:t>/</w:t>
      </w:r>
      <w:proofErr w:type="spellStart"/>
      <w:r w:rsidR="002B3186">
        <w:t>Southface</w:t>
      </w:r>
      <w:proofErr w:type="spellEnd"/>
      <w:r>
        <w:t xml:space="preserve"> Witness </w:t>
      </w:r>
      <w:proofErr w:type="spellStart"/>
      <w:r>
        <w:t>Hotaling</w:t>
      </w:r>
      <w:proofErr w:type="spellEnd"/>
      <w:r>
        <w:t xml:space="preserve"> expresses concerns about the Company’s “restrictive build limits on solar” and recommends that Georgia Power present data without annual build limits applied to new solar resources. (</w:t>
      </w:r>
      <w:r w:rsidR="00F9408F">
        <w:t>Tr. 3398</w:t>
      </w:r>
      <w:r w:rsidR="002B3186">
        <w:t>.</w:t>
      </w:r>
      <w:r>
        <w:t xml:space="preserve">) </w:t>
      </w:r>
      <w:r w:rsidR="003B0DFC">
        <w:t xml:space="preserve">NRDC, Sierra Club, &amp; </w:t>
      </w:r>
      <w:proofErr w:type="spellStart"/>
      <w:r w:rsidR="003B0DFC">
        <w:t>SACE</w:t>
      </w:r>
      <w:proofErr w:type="spellEnd"/>
      <w:r w:rsidR="003B0DFC">
        <w:t xml:space="preserve"> </w:t>
      </w:r>
      <w:r>
        <w:t xml:space="preserve">Witness </w:t>
      </w:r>
      <w:proofErr w:type="spellStart"/>
      <w:r>
        <w:t>Stenclik</w:t>
      </w:r>
      <w:proofErr w:type="spellEnd"/>
      <w:r>
        <w:t xml:space="preserve"> similarly recommends removing annual build limits on solar, wind, and storage in at least one unconstrained scenario to assess least-cost outcomes</w:t>
      </w:r>
      <w:r w:rsidR="002B3186">
        <w:t>.</w:t>
      </w:r>
      <w:r w:rsidR="00F9408F">
        <w:t xml:space="preserve"> (Tr. 4138</w:t>
      </w:r>
      <w:r w:rsidR="002B3186">
        <w:t>.</w:t>
      </w:r>
      <w:r w:rsidR="00F9408F">
        <w:t>)</w:t>
      </w:r>
      <w:r>
        <w:t xml:space="preserve"> He further recommends that the Company be required to justify how its build limits were developed and explain any changes to these build limits</w:t>
      </w:r>
      <w:r w:rsidR="002B3186">
        <w:t>.</w:t>
      </w:r>
      <w:r w:rsidR="00CC6FAD">
        <w:t xml:space="preserve"> (Tr. 4154, 4189</w:t>
      </w:r>
      <w:r w:rsidR="002B3186">
        <w:t>.</w:t>
      </w:r>
      <w:r w:rsidR="00CC6FAD">
        <w:t>)</w:t>
      </w:r>
      <w:r>
        <w:t xml:space="preserve"> Finally, </w:t>
      </w:r>
      <w:proofErr w:type="spellStart"/>
      <w:r>
        <w:t>SREA</w:t>
      </w:r>
      <w:proofErr w:type="spellEnd"/>
      <w:r>
        <w:t xml:space="preserve"> Witness Palomino alleges that the IRP does not discuss the drivers for the Company’s annual build limits </w:t>
      </w:r>
      <w:r>
        <w:lastRenderedPageBreak/>
        <w:t>and fails to elaborate on the reasons for wind and solar limits</w:t>
      </w:r>
      <w:r w:rsidR="002B3186">
        <w:t>.</w:t>
      </w:r>
      <w:r w:rsidR="00CC6FAD">
        <w:t xml:space="preserve"> (Tr. 4453</w:t>
      </w:r>
      <w:r w:rsidR="002B3186">
        <w:t>.</w:t>
      </w:r>
      <w:r w:rsidR="00CC6FAD">
        <w:t>)</w:t>
      </w:r>
      <w:r>
        <w:t xml:space="preserve"> Witness Palomino argues that when built capacity reaches the annual limit, “it suggests that the system has a greater appetite, and therefore economic incentive, to build wind and solar capacity than is permitted by Georgia Power’s adopted constraints.” (</w:t>
      </w:r>
      <w:r w:rsidR="00CC6FAD">
        <w:t>Tr. 4454</w:t>
      </w:r>
      <w:r w:rsidR="002B3186">
        <w:t>.</w:t>
      </w:r>
      <w:r>
        <w:t>)</w:t>
      </w:r>
    </w:p>
    <w:p w14:paraId="5872E2C9" w14:textId="64C36C06" w:rsidR="00C97183" w:rsidRPr="004B4080" w:rsidRDefault="00C97183" w:rsidP="00B5749E">
      <w:pPr>
        <w:pStyle w:val="SSBodyText"/>
      </w:pPr>
      <w:r>
        <w:t xml:space="preserve">These </w:t>
      </w:r>
      <w:r w:rsidR="00733D3A">
        <w:t xml:space="preserve">Intervenor </w:t>
      </w:r>
      <w:r>
        <w:t xml:space="preserve">criticisms ignore the fact that the use of build limits in expansion planning modeling is </w:t>
      </w:r>
      <w:r w:rsidR="00D12EE9">
        <w:t xml:space="preserve">standard </w:t>
      </w:r>
      <w:r>
        <w:t xml:space="preserve">industry practice and that build limits should reflect the real decisions the Company must make about significant resource decisions. Most electric utilities include build limit assumptions in their expansion plans as </w:t>
      </w:r>
      <w:r w:rsidR="00A54087">
        <w:t>part</w:t>
      </w:r>
      <w:r>
        <w:t xml:space="preserve"> of their integrated resource plans.</w:t>
      </w:r>
      <w:r w:rsidR="00CC6FAD">
        <w:t xml:space="preserve"> (</w:t>
      </w:r>
      <w:r w:rsidR="51BBD438">
        <w:t>Tr. 4748</w:t>
      </w:r>
      <w:r w:rsidR="00513419">
        <w:t>.</w:t>
      </w:r>
      <w:r w:rsidR="00CC6FAD">
        <w:t>)</w:t>
      </w:r>
      <w:r>
        <w:t xml:space="preserve"> Both Duke Energy Carolinas and Dominion Energy in Virginia—states </w:t>
      </w:r>
      <w:r w:rsidR="00D12EE9">
        <w:t>cited in Intervenor testimony</w:t>
      </w:r>
      <w:r>
        <w:t xml:space="preserve">—each have </w:t>
      </w:r>
      <w:r w:rsidR="00525739">
        <w:t xml:space="preserve">resource </w:t>
      </w:r>
      <w:r>
        <w:t xml:space="preserve">build limits as parts of their respective </w:t>
      </w:r>
      <w:r w:rsidR="00D12EE9">
        <w:t>resource mix studies</w:t>
      </w:r>
      <w:r>
        <w:t>. (</w:t>
      </w:r>
      <w:r w:rsidR="1D9EB6B3" w:rsidRPr="2434A1BF">
        <w:rPr>
          <w:i/>
          <w:iCs/>
        </w:rPr>
        <w:t>Id.</w:t>
      </w:r>
      <w:r>
        <w:t>)</w:t>
      </w:r>
      <w:r w:rsidR="00525739">
        <w:t xml:space="preserve"> While perhaps an interesting theoretical exercise, relying on unrealistic build limits that ignore practical realities of planning and operating an electric utility can have real and significant negative impacts</w:t>
      </w:r>
      <w:r w:rsidR="00B5749E">
        <w:t>, as the Resource Mix Study informs renewable energy procurement levels and projections of avoided energy costs used in RFP evaluations. (</w:t>
      </w:r>
      <w:r w:rsidR="300F2005">
        <w:t>Tr. 4747</w:t>
      </w:r>
      <w:r w:rsidR="006473DE">
        <w:t>.</w:t>
      </w:r>
      <w:r w:rsidR="00B5749E">
        <w:t>)</w:t>
      </w:r>
      <w:r w:rsidRPr="004B4080">
        <w:t xml:space="preserve"> Accordingly, any calls for relaxed build limits should be rejected, and the Company’s industry practice of </w:t>
      </w:r>
      <w:r w:rsidR="00B5749E">
        <w:t xml:space="preserve">including reasonable and practical </w:t>
      </w:r>
      <w:r w:rsidRPr="004B4080">
        <w:t xml:space="preserve">build limits should be </w:t>
      </w:r>
      <w:r w:rsidR="00B5749E">
        <w:t>approved</w:t>
      </w:r>
      <w:r w:rsidRPr="004B4080">
        <w:t>.</w:t>
      </w:r>
    </w:p>
    <w:p w14:paraId="3179B001" w14:textId="59BB9F15" w:rsidR="00C97183" w:rsidRPr="00AF0A30" w:rsidRDefault="00C97183" w:rsidP="00821E48">
      <w:pPr>
        <w:pStyle w:val="Heading4"/>
      </w:pPr>
      <w:r w:rsidRPr="00AF0A30">
        <w:t xml:space="preserve">The Company and </w:t>
      </w:r>
      <w:r w:rsidR="0054206A">
        <w:t xml:space="preserve">PIA </w:t>
      </w:r>
      <w:r w:rsidRPr="00AF0A30">
        <w:t xml:space="preserve">Staff </w:t>
      </w:r>
      <w:r w:rsidR="00161969" w:rsidRPr="00AF0A30">
        <w:t>reached</w:t>
      </w:r>
      <w:r w:rsidRPr="00AF0A30">
        <w:t xml:space="preserve"> the same conclusions even though the Company did not run an integrated analysis as suggested by </w:t>
      </w:r>
      <w:r w:rsidR="0054206A">
        <w:t xml:space="preserve">PIA </w:t>
      </w:r>
      <w:r w:rsidRPr="00AF0A30">
        <w:t>Staff.</w:t>
      </w:r>
    </w:p>
    <w:p w14:paraId="63A847A5" w14:textId="23414D84" w:rsidR="00C97183" w:rsidRDefault="0054206A" w:rsidP="00AF0A30">
      <w:pPr>
        <w:pStyle w:val="SSBodyText"/>
      </w:pPr>
      <w:r>
        <w:t xml:space="preserve">PIA </w:t>
      </w:r>
      <w:r w:rsidR="00C97183" w:rsidRPr="004B4080">
        <w:t>Staff</w:t>
      </w:r>
      <w:r w:rsidR="004015B5">
        <w:t>’s panel of Witnesses</w:t>
      </w:r>
      <w:r w:rsidR="00C97183" w:rsidRPr="004B4080">
        <w:t xml:space="preserve"> Newsome, </w:t>
      </w:r>
      <w:proofErr w:type="spellStart"/>
      <w:r w:rsidR="00C97183" w:rsidRPr="004B4080">
        <w:t>Hayet</w:t>
      </w:r>
      <w:proofErr w:type="spellEnd"/>
      <w:r w:rsidR="00C97183" w:rsidRPr="004B4080">
        <w:t xml:space="preserve">, </w:t>
      </w:r>
      <w:proofErr w:type="spellStart"/>
      <w:r w:rsidR="00C97183" w:rsidRPr="004B4080">
        <w:t>Sandonato</w:t>
      </w:r>
      <w:proofErr w:type="spellEnd"/>
      <w:r w:rsidR="00C97183" w:rsidRPr="004B4080">
        <w:t>, and Wellborn</w:t>
      </w:r>
      <w:r w:rsidR="00AF0A30">
        <w:t xml:space="preserve"> </w:t>
      </w:r>
      <w:r w:rsidR="00C97183" w:rsidRPr="004B4080">
        <w:t>testified that “[a]</w:t>
      </w:r>
      <w:proofErr w:type="spellStart"/>
      <w:r w:rsidR="00C97183" w:rsidRPr="004B4080">
        <w:t>lthough</w:t>
      </w:r>
      <w:proofErr w:type="spellEnd"/>
      <w:r w:rsidR="00C97183" w:rsidRPr="004B4080">
        <w:t xml:space="preserve"> an economic analysis was</w:t>
      </w:r>
      <w:r w:rsidR="00C97183">
        <w:t xml:space="preserve"> performed in each of [the six different studies performed by the Company], the studies were not integrated.”</w:t>
      </w:r>
      <w:r w:rsidR="005962E9">
        <w:t xml:space="preserve"> (Tr. 1695</w:t>
      </w:r>
      <w:r>
        <w:t>.</w:t>
      </w:r>
      <w:r w:rsidR="005962E9">
        <w:t>)</w:t>
      </w:r>
      <w:r w:rsidR="00C97183">
        <w:t xml:space="preserve"> </w:t>
      </w:r>
      <w:r>
        <w:t xml:space="preserve">PIA </w:t>
      </w:r>
      <w:r w:rsidR="00C97183">
        <w:t>Staff noted that “an integrated analysis would have allowed the Company to determine a project ranked order based on which incremental project would provide the most value to the system.”</w:t>
      </w:r>
      <w:r w:rsidR="005962E9">
        <w:t xml:space="preserve"> (</w:t>
      </w:r>
      <w:r w:rsidR="005962E9">
        <w:rPr>
          <w:i/>
          <w:iCs/>
        </w:rPr>
        <w:t>Id.</w:t>
      </w:r>
      <w:r w:rsidR="005962E9">
        <w:t>)</w:t>
      </w:r>
      <w:r w:rsidR="00C97183">
        <w:t xml:space="preserve"> </w:t>
      </w:r>
      <w:r>
        <w:t xml:space="preserve">PIA </w:t>
      </w:r>
      <w:r w:rsidR="00C97183">
        <w:t xml:space="preserve">Staff further testified </w:t>
      </w:r>
      <w:r w:rsidR="00C97183">
        <w:lastRenderedPageBreak/>
        <w:t>that it performed an integrated analysis that concurrently evaluated a host of resource decisions, options, and retirements.</w:t>
      </w:r>
      <w:r w:rsidR="005962E9">
        <w:t xml:space="preserve"> (Tr. 1696</w:t>
      </w:r>
      <w:r>
        <w:t>.</w:t>
      </w:r>
      <w:r w:rsidR="005962E9">
        <w:t>)</w:t>
      </w:r>
      <w:r w:rsidR="00AF0A30">
        <w:t xml:space="preserve"> </w:t>
      </w:r>
      <w:r w:rsidR="00C97183">
        <w:t xml:space="preserve">Despite this criticism, the </w:t>
      </w:r>
      <w:r w:rsidR="00B5749E" w:rsidRPr="004B4080">
        <w:t xml:space="preserve">Newsome, </w:t>
      </w:r>
      <w:proofErr w:type="spellStart"/>
      <w:r w:rsidR="00B5749E" w:rsidRPr="004B4080">
        <w:t>Hayet</w:t>
      </w:r>
      <w:proofErr w:type="spellEnd"/>
      <w:r w:rsidR="00B5749E" w:rsidRPr="004B4080">
        <w:t xml:space="preserve">, </w:t>
      </w:r>
      <w:proofErr w:type="spellStart"/>
      <w:r w:rsidR="00B5749E" w:rsidRPr="004B4080">
        <w:t>Sandonato</w:t>
      </w:r>
      <w:proofErr w:type="spellEnd"/>
      <w:r w:rsidR="00B5749E" w:rsidRPr="004B4080">
        <w:t>, and Wellborn</w:t>
      </w:r>
      <w:r w:rsidR="00B5749E">
        <w:t xml:space="preserve"> </w:t>
      </w:r>
      <w:r w:rsidR="000A7C12">
        <w:t xml:space="preserve">panel </w:t>
      </w:r>
      <w:r w:rsidR="00AF0A30">
        <w:t xml:space="preserve">reached </w:t>
      </w:r>
      <w:r w:rsidR="000A7C12">
        <w:t xml:space="preserve">very similar </w:t>
      </w:r>
      <w:r w:rsidR="00AF0A30">
        <w:t>conclusion</w:t>
      </w:r>
      <w:r w:rsidR="000A7C12">
        <w:t>s</w:t>
      </w:r>
      <w:r w:rsidR="00AF0A30">
        <w:t xml:space="preserve"> as Georgia Power regarding</w:t>
      </w:r>
      <w:r w:rsidR="00C97183">
        <w:t xml:space="preserve"> incremental resource additions</w:t>
      </w:r>
      <w:r>
        <w:t>.</w:t>
      </w:r>
      <w:r w:rsidR="005962E9">
        <w:t xml:space="preserve"> (Tr. 1844</w:t>
      </w:r>
      <w:r>
        <w:t>.</w:t>
      </w:r>
      <w:r w:rsidR="005962E9">
        <w:t>)</w:t>
      </w:r>
      <w:r w:rsidR="00C97183">
        <w:t xml:space="preserve"> Thus, even without the use of an integrated analysis as </w:t>
      </w:r>
      <w:r>
        <w:t xml:space="preserve">PIA </w:t>
      </w:r>
      <w:r w:rsidR="00C97183">
        <w:t xml:space="preserve">Staff has proposed, the outcome between the Company’s analysis and </w:t>
      </w:r>
      <w:r>
        <w:t xml:space="preserve">PIA </w:t>
      </w:r>
      <w:r w:rsidR="00C97183">
        <w:t xml:space="preserve">Staff’s analysis was </w:t>
      </w:r>
      <w:r w:rsidR="000A7C12">
        <w:t xml:space="preserve">essentially </w:t>
      </w:r>
      <w:r w:rsidR="00C97183">
        <w:t>the same. On this basis alone, the Company’s analysis should be deemed reasonable.</w:t>
      </w:r>
    </w:p>
    <w:p w14:paraId="49D18119" w14:textId="0BC0B8ED" w:rsidR="00C97183" w:rsidRPr="004B4080" w:rsidRDefault="000C150F" w:rsidP="007F46B5">
      <w:pPr>
        <w:pStyle w:val="SSBodyText"/>
        <w:rPr>
          <w:lang w:eastAsia="en-US"/>
        </w:rPr>
      </w:pPr>
      <w:r>
        <w:t xml:space="preserve">PIA </w:t>
      </w:r>
      <w:r w:rsidR="00C97183">
        <w:t xml:space="preserve">Staff’s proposal to perform an integrated analysis also </w:t>
      </w:r>
      <w:r w:rsidR="000A7C12">
        <w:t xml:space="preserve">ignores </w:t>
      </w:r>
      <w:r w:rsidR="00C97183">
        <w:t xml:space="preserve">the practical realities of the Company’s planning circumstances. To </w:t>
      </w:r>
      <w:r w:rsidR="000A7C12">
        <w:t xml:space="preserve">perform </w:t>
      </w:r>
      <w:r w:rsidR="00C97183">
        <w:t xml:space="preserve">an </w:t>
      </w:r>
      <w:r w:rsidR="00AD1092">
        <w:t xml:space="preserve">analysis using </w:t>
      </w:r>
      <w:r w:rsidR="00C97183">
        <w:t xml:space="preserve">integrated model, all inputs must be ready </w:t>
      </w:r>
      <w:r w:rsidR="000A7C12">
        <w:t xml:space="preserve">in time </w:t>
      </w:r>
      <w:r w:rsidR="00C97183">
        <w:t xml:space="preserve">to run the model, a fact that </w:t>
      </w:r>
      <w:r w:rsidR="005D6336">
        <w:t xml:space="preserve">PIA </w:t>
      </w:r>
      <w:r w:rsidR="00C97183">
        <w:t xml:space="preserve">Staff Witnesses Newsome, </w:t>
      </w:r>
      <w:proofErr w:type="spellStart"/>
      <w:r w:rsidR="00C97183">
        <w:t>Hayet</w:t>
      </w:r>
      <w:proofErr w:type="spellEnd"/>
      <w:r w:rsidR="00C97183">
        <w:t xml:space="preserve">, </w:t>
      </w:r>
      <w:proofErr w:type="spellStart"/>
      <w:r w:rsidR="00C97183">
        <w:t>Sandonato</w:t>
      </w:r>
      <w:proofErr w:type="spellEnd"/>
      <w:r w:rsidR="00C97183">
        <w:t>, and Wellborn acknowledged during hearings. (</w:t>
      </w:r>
      <w:r w:rsidR="005962E9">
        <w:t>Tr. 1843</w:t>
      </w:r>
      <w:r w:rsidR="006650FA">
        <w:t>.</w:t>
      </w:r>
      <w:r w:rsidR="00C97183">
        <w:t xml:space="preserve">) </w:t>
      </w:r>
      <w:r w:rsidR="005D6336">
        <w:t xml:space="preserve">PIA </w:t>
      </w:r>
      <w:r w:rsidR="00C97183">
        <w:t xml:space="preserve">Staff has the benefit of receiving the Company’s completed </w:t>
      </w:r>
      <w:r w:rsidR="000A7C12">
        <w:t>IRP</w:t>
      </w:r>
      <w:r w:rsidR="00C97183">
        <w:t xml:space="preserve"> before beginning its </w:t>
      </w:r>
      <w:r w:rsidR="00A54087">
        <w:t>analysis and</w:t>
      </w:r>
      <w:r w:rsidR="00C97183">
        <w:t xml:space="preserve"> has all the Company’s inputs already available to them for critique.</w:t>
      </w:r>
      <w:r w:rsidR="005962E9">
        <w:t xml:space="preserve"> (Tr. 1843</w:t>
      </w:r>
      <w:r w:rsidR="005D6336">
        <w:t>.</w:t>
      </w:r>
      <w:r w:rsidR="005962E9">
        <w:t>)</w:t>
      </w:r>
      <w:r w:rsidR="00C97183">
        <w:t xml:space="preserve"> In comparison, the Company has no such benefit—many of the Company’s supporting studies are conducted sequentially because one study may rely on the outputs of a previously completed study. For example, the Company did not have (and in fact, could not have) the results of its All-Source RFP at the time it performed its Resource Mix Study</w:t>
      </w:r>
      <w:r w:rsidR="00DC75D5">
        <w:t>.</w:t>
      </w:r>
      <w:r w:rsidR="005962E9">
        <w:t xml:space="preserve"> (</w:t>
      </w:r>
      <w:r w:rsidR="09B69868">
        <w:t>Tr. 4749</w:t>
      </w:r>
      <w:r w:rsidR="00E8159D">
        <w:t>–</w:t>
      </w:r>
      <w:r w:rsidR="09B69868">
        <w:t>50</w:t>
      </w:r>
      <w:r w:rsidR="00FA5779">
        <w:t>.</w:t>
      </w:r>
      <w:r w:rsidR="005962E9">
        <w:t>)</w:t>
      </w:r>
      <w:r w:rsidR="00C97183">
        <w:t xml:space="preserve"> Despite this</w:t>
      </w:r>
      <w:r w:rsidR="000A7C12">
        <w:t xml:space="preserve"> important fact</w:t>
      </w:r>
      <w:r w:rsidR="00C97183">
        <w:t xml:space="preserve">, </w:t>
      </w:r>
      <w:r w:rsidR="00F46C9A">
        <w:t xml:space="preserve">PIA </w:t>
      </w:r>
      <w:r w:rsidR="00C97183">
        <w:t>Staff essentially recommends that the Company perform a complete analysis with missing information</w:t>
      </w:r>
      <w:r w:rsidR="000A7C12">
        <w:t>.</w:t>
      </w:r>
      <w:r w:rsidR="005962E9">
        <w:t xml:space="preserve"> (</w:t>
      </w:r>
      <w:r w:rsidR="064B4AAF">
        <w:t>Tr. 4750</w:t>
      </w:r>
      <w:r w:rsidR="000F4329">
        <w:t>.</w:t>
      </w:r>
      <w:r w:rsidR="005962E9">
        <w:t>)</w:t>
      </w:r>
      <w:r w:rsidR="00C97183">
        <w:t xml:space="preserve"> And while</w:t>
      </w:r>
      <w:r w:rsidR="00F46C9A">
        <w:t xml:space="preserve"> PIA</w:t>
      </w:r>
      <w:r w:rsidR="00C97183">
        <w:t xml:space="preserve"> Staff suggests that the Company use surrogate information and later update such placeholder information</w:t>
      </w:r>
      <w:r w:rsidR="005962E9">
        <w:t xml:space="preserve"> (Tr. 1843)</w:t>
      </w:r>
      <w:r w:rsidR="00C97183">
        <w:t xml:space="preserve">, this would only add to the already complex and time-consuming nature of the IRP process. Because </w:t>
      </w:r>
      <w:r w:rsidR="00F46C9A">
        <w:t xml:space="preserve">PIA </w:t>
      </w:r>
      <w:r w:rsidR="00C97183">
        <w:t xml:space="preserve">Staff and the Company came to </w:t>
      </w:r>
      <w:r w:rsidR="000A7C12">
        <w:t xml:space="preserve">very similar </w:t>
      </w:r>
      <w:r w:rsidR="00C97183">
        <w:t xml:space="preserve">conclusions despite </w:t>
      </w:r>
      <w:r w:rsidR="000A7C12">
        <w:t>the different approaches</w:t>
      </w:r>
      <w:r w:rsidR="00C97183">
        <w:t xml:space="preserve">, the </w:t>
      </w:r>
      <w:r w:rsidR="00C97183" w:rsidRPr="004B4080">
        <w:t>Company’s economic analyses should be deemed reasonable.</w:t>
      </w:r>
    </w:p>
    <w:p w14:paraId="4F4F9084" w14:textId="02A01592" w:rsidR="00C97183" w:rsidRPr="00173924" w:rsidRDefault="00C97183" w:rsidP="00C505DF">
      <w:pPr>
        <w:pStyle w:val="Heading4"/>
      </w:pPr>
      <w:r w:rsidRPr="00AF0A30">
        <w:lastRenderedPageBreak/>
        <w:t xml:space="preserve">Even </w:t>
      </w:r>
      <w:r w:rsidR="00733D3A">
        <w:t>if the Company assumed</w:t>
      </w:r>
      <w:r w:rsidR="00733D3A" w:rsidRPr="00AF0A30">
        <w:t xml:space="preserve"> </w:t>
      </w:r>
      <w:r w:rsidRPr="00AF0A30">
        <w:t xml:space="preserve">increased costs for </w:t>
      </w:r>
      <w:r w:rsidR="00733D3A">
        <w:t xml:space="preserve">generic </w:t>
      </w:r>
      <w:r w:rsidRPr="00AF0A30">
        <w:t>CCs and CTs, an economically optimal mix of resources includes CC and CT resources.</w:t>
      </w:r>
    </w:p>
    <w:p w14:paraId="3A680A98" w14:textId="6CBA4FCE" w:rsidR="00C97183" w:rsidRDefault="00C97183" w:rsidP="007F46B5">
      <w:pPr>
        <w:pStyle w:val="SSBodyText"/>
      </w:pPr>
      <w:r>
        <w:t>As part of its Resource Mix Study, the Company assesses capital costs of generic resources, including costs of combined cycle (</w:t>
      </w:r>
      <w:r w:rsidR="00827B35">
        <w:t>“</w:t>
      </w:r>
      <w:r>
        <w:t>CC</w:t>
      </w:r>
      <w:r w:rsidR="00827B35">
        <w:t>”</w:t>
      </w:r>
      <w:r>
        <w:t>) and combustion turbine (</w:t>
      </w:r>
      <w:r w:rsidR="00827B35">
        <w:t>“</w:t>
      </w:r>
      <w:r>
        <w:t>CT</w:t>
      </w:r>
      <w:r w:rsidR="00827B35">
        <w:t>”</w:t>
      </w:r>
      <w:r>
        <w:t>) resources.</w:t>
      </w:r>
      <w:r w:rsidR="47D7901F">
        <w:t xml:space="preserve"> (Tr. 136.)</w:t>
      </w:r>
      <w:r>
        <w:t xml:space="preserve"> </w:t>
      </w:r>
      <w:r w:rsidR="00F46C9A">
        <w:t xml:space="preserve">PIA </w:t>
      </w:r>
      <w:r>
        <w:t>Staff and some Intervenors testified that the Company’s CC and CT costs used in the Resource Mix Study were lower than current market expectations, based on comparisons of the Company’s costs to other electric utilities</w:t>
      </w:r>
      <w:r w:rsidR="00BB5E13">
        <w:t>’</w:t>
      </w:r>
      <w:r>
        <w:t xml:space="preserve"> costs for the same </w:t>
      </w:r>
      <w:r w:rsidR="00BB5E13">
        <w:t xml:space="preserve">or similar </w:t>
      </w:r>
      <w:r>
        <w:t>technologies. (</w:t>
      </w:r>
      <w:r w:rsidR="1124FB15">
        <w:t>Tr. 4750</w:t>
      </w:r>
      <w:r w:rsidR="00F46C9A">
        <w:t>.</w:t>
      </w:r>
      <w:r>
        <w:t>)</w:t>
      </w:r>
    </w:p>
    <w:p w14:paraId="61742E11" w14:textId="5D6C817D" w:rsidR="00C97183" w:rsidRDefault="00C97183" w:rsidP="007F46B5">
      <w:pPr>
        <w:pStyle w:val="SSBodyText"/>
      </w:pPr>
      <w:r>
        <w:t>The Company has acknowledged that costs have increased for CC and CT resources due to higher global demand for these resources</w:t>
      </w:r>
      <w:r w:rsidR="003E4BAC">
        <w:t>.</w:t>
      </w:r>
      <w:r w:rsidR="00832B1D">
        <w:t xml:space="preserve"> (Tr. 513–14</w:t>
      </w:r>
      <w:r w:rsidR="003E4BAC">
        <w:t>.</w:t>
      </w:r>
      <w:r w:rsidR="00832B1D">
        <w:t>)</w:t>
      </w:r>
      <w:r>
        <w:t xml:space="preserve"> While the Company did not </w:t>
      </w:r>
      <w:r w:rsidR="006057F6">
        <w:t>re</w:t>
      </w:r>
      <w:r w:rsidR="00BB5E13">
        <w:t>-</w:t>
      </w:r>
      <w:r>
        <w:t xml:space="preserve">run the entire mix study </w:t>
      </w:r>
      <w:r w:rsidR="006057F6">
        <w:t>t</w:t>
      </w:r>
      <w:r>
        <w:t xml:space="preserve">o account for the higher costs of only one or two technologies, the Company did conduct a sensitivity with increased CC and CT costs consistent with costs highlighted in </w:t>
      </w:r>
      <w:r w:rsidR="003E4BAC">
        <w:t xml:space="preserve">PIA </w:t>
      </w:r>
      <w:r>
        <w:t>Staff and Intervenor testimony. (</w:t>
      </w:r>
      <w:r w:rsidR="00832B1D">
        <w:rPr>
          <w:i/>
          <w:iCs/>
        </w:rPr>
        <w:t>Id.</w:t>
      </w:r>
      <w:r>
        <w:t>) The Company conducted this sensitivity analysis for both the MG0 and 111-MG0 scenarios</w:t>
      </w:r>
      <w:r w:rsidR="00832B1D">
        <w:t xml:space="preserve"> (</w:t>
      </w:r>
      <w:r w:rsidR="582B8DA2">
        <w:t>Tr. 4751</w:t>
      </w:r>
      <w:r w:rsidR="00832B1D">
        <w:t>), and in</w:t>
      </w:r>
      <w:r>
        <w:t xml:space="preserve"> both analyses, CC and CT resources were all still part of an economically optimal mix of resources. </w:t>
      </w:r>
      <w:r w:rsidR="00832B1D">
        <w:t>While individual</w:t>
      </w:r>
      <w:r>
        <w:t xml:space="preserve"> selections d</w:t>
      </w:r>
      <w:r w:rsidR="00832B1D">
        <w:t>id</w:t>
      </w:r>
      <w:r>
        <w:t xml:space="preserve"> </w:t>
      </w:r>
      <w:r w:rsidR="00832B1D">
        <w:t>vary</w:t>
      </w:r>
      <w:r>
        <w:t xml:space="preserve">, the CC and CT resources </w:t>
      </w:r>
      <w:r w:rsidR="00832B1D">
        <w:t>we</w:t>
      </w:r>
      <w:r>
        <w:t xml:space="preserve">re still selected, even </w:t>
      </w:r>
      <w:r w:rsidR="00EE1FCF">
        <w:t>considering</w:t>
      </w:r>
      <w:r>
        <w:t xml:space="preserve"> higher costs. This indicates that these resources still make up a significant portion of an economically optimal mix of resources and should be included in the Company’s expansion planning, even with higher prices.</w:t>
      </w:r>
    </w:p>
    <w:p w14:paraId="1DA4DB9D" w14:textId="20FC737A" w:rsidR="4DAE9974" w:rsidRDefault="00C97183" w:rsidP="00F81351">
      <w:pPr>
        <w:pStyle w:val="SSBodyText"/>
      </w:pPr>
      <w:r>
        <w:t xml:space="preserve">The Company will continue </w:t>
      </w:r>
      <w:r w:rsidR="006A41F4">
        <w:t>gathering</w:t>
      </w:r>
      <w:r>
        <w:t xml:space="preserve"> information for both cost and performance for all generation technologies (not just CCs and CTs)</w:t>
      </w:r>
      <w:r w:rsidR="00832B1D">
        <w:t xml:space="preserve">, </w:t>
      </w:r>
      <w:r>
        <w:t>will consider these as part of the Company’s resource plans and analysis</w:t>
      </w:r>
      <w:r w:rsidR="00832B1D">
        <w:t xml:space="preserve">, and </w:t>
      </w:r>
      <w:r>
        <w:t xml:space="preserve">will continue to </w:t>
      </w:r>
      <w:r w:rsidR="00832B1D">
        <w:t>use</w:t>
      </w:r>
      <w:r>
        <w:t xml:space="preserve"> actual information for specific resources to inform cost and performance for generation technologies</w:t>
      </w:r>
      <w:r w:rsidR="000F64E4">
        <w:t>.</w:t>
      </w:r>
      <w:r w:rsidR="00832B1D">
        <w:t xml:space="preserve"> (</w:t>
      </w:r>
      <w:r w:rsidR="5B13EAD2">
        <w:t>Tr. 4753</w:t>
      </w:r>
      <w:r w:rsidR="000F64E4">
        <w:t>.</w:t>
      </w:r>
      <w:r w:rsidR="00832B1D">
        <w:t>)</w:t>
      </w:r>
      <w:r>
        <w:t xml:space="preserve"> In light of the Company’s sensitivities and its commitment to continued refinement of costs based on actual information, the Company’s resource expansion planning should be adopted.</w:t>
      </w:r>
    </w:p>
    <w:p w14:paraId="3E993480" w14:textId="4EF01516" w:rsidR="00E17FC1" w:rsidRPr="00165DB7" w:rsidRDefault="00F14900" w:rsidP="00810075">
      <w:pPr>
        <w:pStyle w:val="Heading3"/>
      </w:pPr>
      <w:bookmarkStart w:id="9" w:name="_Toc202446762"/>
      <w:r>
        <w:lastRenderedPageBreak/>
        <w:t>The Commission should approve the</w:t>
      </w:r>
      <w:r w:rsidR="004B4080">
        <w:t xml:space="preserve"> natural gas and nuclear</w:t>
      </w:r>
      <w:r>
        <w:t xml:space="preserve"> upgrades </w:t>
      </w:r>
      <w:r w:rsidR="004B4080">
        <w:t>as proposed and scheduled as these resources</w:t>
      </w:r>
      <w:r w:rsidRPr="00F14900">
        <w:t xml:space="preserve"> </w:t>
      </w:r>
      <w:r w:rsidR="00D06938" w:rsidRPr="00165DB7">
        <w:t xml:space="preserve">support optimization of </w:t>
      </w:r>
      <w:r w:rsidR="004B4080">
        <w:t xml:space="preserve">existing </w:t>
      </w:r>
      <w:r w:rsidR="00D06938" w:rsidRPr="00165DB7">
        <w:t>resources for the economic benefit of customers</w:t>
      </w:r>
      <w:r w:rsidR="004B4080">
        <w:t>.</w:t>
      </w:r>
      <w:bookmarkEnd w:id="9"/>
    </w:p>
    <w:p w14:paraId="77E1DC0F" w14:textId="38E8F437" w:rsidR="004966C5" w:rsidRDefault="007B27A1" w:rsidP="004966C5">
      <w:pPr>
        <w:pStyle w:val="SSBodyText"/>
      </w:pPr>
      <w:r w:rsidRPr="00A2146A">
        <w:t>The Commission should approve the Company’s proposed</w:t>
      </w:r>
      <w:r w:rsidR="004966C5">
        <w:t xml:space="preserve"> nuclear and natural gas </w:t>
      </w:r>
      <w:r w:rsidRPr="00A2146A">
        <w:t>unit</w:t>
      </w:r>
      <w:r>
        <w:t xml:space="preserve"> upgrades</w:t>
      </w:r>
      <w:r w:rsidRPr="00A2146A">
        <w:t xml:space="preserve"> as</w:t>
      </w:r>
      <w:r w:rsidR="004966C5">
        <w:t xml:space="preserve"> proposed. These key components of Georgia Power’s supply-side strategy </w:t>
      </w:r>
      <w:r w:rsidRPr="00A2146A">
        <w:t xml:space="preserve">leverage existing generation resources to meet growing energy demands. Georgia Power’s comprehensive </w:t>
      </w:r>
      <w:r w:rsidR="00DD4276">
        <w:t>upgrade</w:t>
      </w:r>
      <w:r w:rsidR="00DD4276" w:rsidRPr="00A2146A">
        <w:t xml:space="preserve"> </w:t>
      </w:r>
      <w:r w:rsidRPr="00A2146A">
        <w:t>plan provides an additional 380 MW of reliable winter capacity at a lower cost than new construction</w:t>
      </w:r>
      <w:r>
        <w:t>.</w:t>
      </w:r>
      <w:r w:rsidR="004966C5">
        <w:t xml:space="preserve"> (</w:t>
      </w:r>
      <w:r w:rsidR="000F4C3B">
        <w:t xml:space="preserve">Exhibit GPC-1/PD </w:t>
      </w:r>
      <w:r w:rsidR="000F4C3B" w:rsidRPr="00B6002F">
        <w:t xml:space="preserve">at </w:t>
      </w:r>
      <w:r w:rsidR="006B01E0" w:rsidRPr="00460882">
        <w:t xml:space="preserve">183, </w:t>
      </w:r>
      <w:r w:rsidR="00803634" w:rsidRPr="00460882">
        <w:t>188</w:t>
      </w:r>
      <w:r w:rsidR="00551BE5" w:rsidRPr="00460882">
        <w:t>–</w:t>
      </w:r>
      <w:r w:rsidR="00803634" w:rsidRPr="00460882">
        <w:t>90</w:t>
      </w:r>
      <w:r w:rsidR="00551BE5">
        <w:t>.</w:t>
      </w:r>
      <w:r w:rsidR="004966C5">
        <w:t>)</w:t>
      </w:r>
    </w:p>
    <w:p w14:paraId="54A16B03" w14:textId="2D5A8997" w:rsidR="007B27A1" w:rsidRDefault="007B27A1" w:rsidP="004966C5">
      <w:pPr>
        <w:pStyle w:val="SSBodyText"/>
      </w:pPr>
      <w:r w:rsidRPr="00A2146A">
        <w:t xml:space="preserve">By leveraging </w:t>
      </w:r>
      <w:r w:rsidR="004966C5">
        <w:t>existing infrastructure, the proposed</w:t>
      </w:r>
      <w:r w:rsidRPr="00A2146A">
        <w:t xml:space="preserve"> Plant McIntosh </w:t>
      </w:r>
      <w:r w:rsidR="00F239C0" w:rsidRPr="00A2146A">
        <w:t>up</w:t>
      </w:r>
      <w:r w:rsidR="00F239C0">
        <w:t>grades</w:t>
      </w:r>
      <w:r w:rsidRPr="00A2146A">
        <w:t xml:space="preserve"> will increase capacity by 268 MW while simultaneously improving operational efficiency. (Tr. </w:t>
      </w:r>
      <w:r>
        <w:t>139</w:t>
      </w:r>
      <w:r w:rsidR="005707D9" w:rsidRPr="005707D9">
        <w:t>–</w:t>
      </w:r>
      <w:r>
        <w:t>41.</w:t>
      </w:r>
      <w:r w:rsidRPr="00A2146A">
        <w:t xml:space="preserve">) These investments will deliver substantial long-term benefits, including improved reliability and greater economic capacity, providing direct benefits </w:t>
      </w:r>
      <w:r w:rsidRPr="00BC5744">
        <w:t>to customers. (Tr. 139</w:t>
      </w:r>
      <w:r w:rsidR="005707D9" w:rsidRPr="005707D9">
        <w:t>–</w:t>
      </w:r>
      <w:r w:rsidRPr="00BC5744">
        <w:t>40</w:t>
      </w:r>
      <w:r>
        <w:t>.</w:t>
      </w:r>
      <w:r w:rsidRPr="00BC5744">
        <w:t>) Similarly</w:t>
      </w:r>
      <w:r w:rsidRPr="00311341">
        <w:t>, the Commission should approve the Company’s proposed nuclear Extended Power Uprates (“</w:t>
      </w:r>
      <w:proofErr w:type="spellStart"/>
      <w:r w:rsidRPr="00311341">
        <w:t>EPU</w:t>
      </w:r>
      <w:proofErr w:type="spellEnd"/>
      <w:r w:rsidRPr="00311341">
        <w:t xml:space="preserve">”). </w:t>
      </w:r>
      <w:r>
        <w:t xml:space="preserve">The </w:t>
      </w:r>
      <w:proofErr w:type="spellStart"/>
      <w:r>
        <w:t>EPUs</w:t>
      </w:r>
      <w:proofErr w:type="spellEnd"/>
      <w:r>
        <w:t xml:space="preserve"> </w:t>
      </w:r>
      <w:r w:rsidRPr="00DB5509">
        <w:t xml:space="preserve">proposed for Plant Vogtle Units 1-2 and Plant Hatch Units 1-2 </w:t>
      </w:r>
      <w:r w:rsidRPr="00226CC9">
        <w:t>optimize existing nuclear facilities to produce additional baseload capacity without incurring significant incremental transmission system costs.</w:t>
      </w:r>
      <w:r>
        <w:t xml:space="preserve"> </w:t>
      </w:r>
      <w:r w:rsidR="002D1D3E">
        <w:t>(</w:t>
      </w:r>
      <w:r w:rsidR="002C1548" w:rsidRPr="002C1548">
        <w:t>Tr. 140–41.</w:t>
      </w:r>
      <w:r w:rsidR="002D1D3E">
        <w:t xml:space="preserve">) </w:t>
      </w:r>
      <w:r>
        <w:t>B</w:t>
      </w:r>
      <w:r w:rsidRPr="00DB5509">
        <w:t>y increasing reactor thermal output</w:t>
      </w:r>
      <w:r>
        <w:t xml:space="preserve">, these upgrades </w:t>
      </w:r>
      <w:r w:rsidRPr="00DB5509">
        <w:t>will yield substantial, economical, carbon-free energy, bolstered by significant federal and state incentives, including</w:t>
      </w:r>
      <w:r w:rsidR="00DB5ADF">
        <w:t xml:space="preserve"> Inflation Reduction Act-</w:t>
      </w:r>
      <w:r w:rsidRPr="00DB5509">
        <w:t>enabled Production Tax Credits and Georgia</w:t>
      </w:r>
      <w:r w:rsidR="002D1D3E">
        <w:t>’</w:t>
      </w:r>
      <w:r w:rsidRPr="00DB5509">
        <w:t>s Investment Tax Credits.</w:t>
      </w:r>
      <w:r>
        <w:t xml:space="preserve"> (</w:t>
      </w:r>
      <w:r w:rsidRPr="00BC5744">
        <w:t>Tr. 1</w:t>
      </w:r>
      <w:r>
        <w:t>41.)</w:t>
      </w:r>
    </w:p>
    <w:p w14:paraId="4F933D63" w14:textId="77777777" w:rsidR="007B27A1" w:rsidRDefault="007B27A1" w:rsidP="001C1A9D">
      <w:pPr>
        <w:pStyle w:val="Heading4"/>
        <w:numPr>
          <w:ilvl w:val="0"/>
          <w:numId w:val="9"/>
        </w:numPr>
        <w:ind w:left="1800"/>
      </w:pPr>
      <w:r>
        <w:t>Any</w:t>
      </w:r>
      <w:r w:rsidRPr="00550F3F">
        <w:t xml:space="preserve"> lessons</w:t>
      </w:r>
      <w:r>
        <w:t xml:space="preserve"> learned in upgrading Plant Vogtle are not transferrable to Plant Hatch and provide, at best, nominal benefit to customers.</w:t>
      </w:r>
    </w:p>
    <w:p w14:paraId="42792144" w14:textId="2C77FDBA" w:rsidR="007B27A1" w:rsidRPr="00E65E3F" w:rsidRDefault="007B27A1" w:rsidP="00A906DE">
      <w:pPr>
        <w:pStyle w:val="SSBodyText"/>
      </w:pPr>
      <w:r>
        <w:t xml:space="preserve">PIA Staff recommends approving the nuclear </w:t>
      </w:r>
      <w:r w:rsidR="00F239C0">
        <w:t xml:space="preserve">upgrade </w:t>
      </w:r>
      <w:r>
        <w:t xml:space="preserve">projects at Plant Vogtle and Plant Hatch but recommends delaying </w:t>
      </w:r>
      <w:r w:rsidR="006A27AE">
        <w:t xml:space="preserve">the </w:t>
      </w:r>
      <w:r>
        <w:t>Plant Hatch</w:t>
      </w:r>
      <w:r w:rsidR="006A27AE">
        <w:t xml:space="preserve"> project</w:t>
      </w:r>
      <w:r>
        <w:t xml:space="preserve"> until two years after completion of </w:t>
      </w:r>
      <w:r w:rsidR="009664A5">
        <w:t xml:space="preserve">the </w:t>
      </w:r>
      <w:r>
        <w:t xml:space="preserve">projects at Plant Vogtle. </w:t>
      </w:r>
      <w:r w:rsidR="008A5248">
        <w:t>(</w:t>
      </w:r>
      <w:r w:rsidR="00DB72EA">
        <w:t>Tr. 4755</w:t>
      </w:r>
      <w:r w:rsidR="008A5248">
        <w:t xml:space="preserve">.) </w:t>
      </w:r>
      <w:r w:rsidRPr="0092524C">
        <w:t xml:space="preserve">PIA Staff’s recommendation to postpone Plant Hatch’s </w:t>
      </w:r>
      <w:r w:rsidR="00F239C0">
        <w:t xml:space="preserve">upgrades </w:t>
      </w:r>
      <w:r w:rsidRPr="0092524C">
        <w:t xml:space="preserve">relies on the unfounded assumption that operational experience gained from </w:t>
      </w:r>
      <w:r w:rsidR="00A54087" w:rsidRPr="0092524C">
        <w:t>the upgrades</w:t>
      </w:r>
      <w:r>
        <w:t xml:space="preserve"> </w:t>
      </w:r>
      <w:r>
        <w:lastRenderedPageBreak/>
        <w:t>at Plant Vogtle</w:t>
      </w:r>
      <w:r w:rsidRPr="0092524C">
        <w:t xml:space="preserve"> would directly benefit </w:t>
      </w:r>
      <w:r>
        <w:t>later upgrades at Plant Hatch</w:t>
      </w:r>
      <w:r w:rsidRPr="0092524C">
        <w:t>.</w:t>
      </w:r>
      <w:r w:rsidR="008A5248">
        <w:t xml:space="preserve"> </w:t>
      </w:r>
      <w:r w:rsidR="009664A5">
        <w:t xml:space="preserve">It will not. As </w:t>
      </w:r>
      <w:r w:rsidR="008A5248">
        <w:t>PIA</w:t>
      </w:r>
      <w:r w:rsidRPr="0092524C">
        <w:t xml:space="preserve"> </w:t>
      </w:r>
      <w:r>
        <w:t>Staff acknowledges</w:t>
      </w:r>
      <w:r w:rsidR="009664A5">
        <w:t>,</w:t>
      </w:r>
      <w:r>
        <w:t xml:space="preserve"> the reactors utilize different </w:t>
      </w:r>
      <w:r w:rsidR="008B35A5">
        <w:t xml:space="preserve">nuclear </w:t>
      </w:r>
      <w:r>
        <w:t>technologies</w:t>
      </w:r>
      <w:r w:rsidR="009664A5">
        <w:t xml:space="preserve">, significantly minimizing any </w:t>
      </w:r>
      <w:r w:rsidR="008B35A5">
        <w:t>potential lessons learned</w:t>
      </w:r>
      <w:r w:rsidRPr="00C72187">
        <w:t xml:space="preserve">. </w:t>
      </w:r>
      <w:r w:rsidRPr="0095112C">
        <w:t>(Tr. 1836</w:t>
      </w:r>
      <w:bookmarkStart w:id="10" w:name="_Hlk201755276"/>
      <w:r w:rsidR="008A5248" w:rsidRPr="008A5248">
        <w:t>–</w:t>
      </w:r>
      <w:bookmarkEnd w:id="10"/>
      <w:r w:rsidRPr="0095112C">
        <w:t>37</w:t>
      </w:r>
      <w:r w:rsidR="00AF232E">
        <w:t>,</w:t>
      </w:r>
      <w:r w:rsidR="006A68E0">
        <w:t xml:space="preserve"> 4755</w:t>
      </w:r>
      <w:r w:rsidRPr="0095112C">
        <w:t>.)</w:t>
      </w:r>
      <w:r w:rsidR="008B35A5">
        <w:t xml:space="preserve"> </w:t>
      </w:r>
      <w:r>
        <w:t xml:space="preserve">Further, </w:t>
      </w:r>
      <w:r w:rsidR="00FE0CB1">
        <w:t>PIA Staff</w:t>
      </w:r>
      <w:r w:rsidR="008B35A5">
        <w:t>’s</w:t>
      </w:r>
      <w:r w:rsidR="00FE0CB1">
        <w:t xml:space="preserve"> </w:t>
      </w:r>
      <w:r w:rsidR="00A906DE">
        <w:t xml:space="preserve">testimony </w:t>
      </w:r>
      <w:r w:rsidRPr="002A1422">
        <w:t xml:space="preserve">that thermal side similarities mitigate </w:t>
      </w:r>
      <w:r>
        <w:t>these</w:t>
      </w:r>
      <w:r w:rsidRPr="002A1422">
        <w:t xml:space="preserve"> differences disregards the Company’s extensive experience </w:t>
      </w:r>
      <w:r w:rsidR="008B35A5">
        <w:t xml:space="preserve">with projects on the secondary side of nuclear and non-nuclear thermal generating units </w:t>
      </w:r>
      <w:r w:rsidRPr="00E65E3F">
        <w:t>in its fleet. (Tr. 1836</w:t>
      </w:r>
      <w:r w:rsidR="00FE0CB1" w:rsidRPr="008A5248">
        <w:t>–</w:t>
      </w:r>
      <w:r w:rsidRPr="00E65E3F">
        <w:t>37</w:t>
      </w:r>
      <w:r w:rsidR="00AF232E">
        <w:t xml:space="preserve">, </w:t>
      </w:r>
      <w:r w:rsidR="00AD04B3" w:rsidRPr="00D94A92">
        <w:t>4755</w:t>
      </w:r>
      <w:r w:rsidR="00FE0CB1" w:rsidRPr="00D94A92">
        <w:t>–</w:t>
      </w:r>
      <w:r w:rsidR="00D94A92" w:rsidRPr="00D94A92">
        <w:t>56</w:t>
      </w:r>
      <w:r w:rsidRPr="00E65E3F">
        <w:t xml:space="preserve">.) The Company has already demonstrated the expertise required for the upgrades at </w:t>
      </w:r>
      <w:r>
        <w:t xml:space="preserve">both </w:t>
      </w:r>
      <w:r w:rsidRPr="00E65E3F">
        <w:t>Plant Hatch</w:t>
      </w:r>
      <w:r>
        <w:t xml:space="preserve"> and Plant Vogtle</w:t>
      </w:r>
      <w:r w:rsidRPr="00E65E3F">
        <w:t xml:space="preserve">, rendering any incremental learning from </w:t>
      </w:r>
      <w:r>
        <w:t xml:space="preserve">either unit </w:t>
      </w:r>
      <w:r w:rsidRPr="00E65E3F">
        <w:t>negligible and insufficient to justify delaying these economic and necessary upgrades. (</w:t>
      </w:r>
      <w:r w:rsidR="005A6CD1" w:rsidRPr="00D94A92">
        <w:t>Tr. 4755–56</w:t>
      </w:r>
      <w:r w:rsidRPr="00E65E3F">
        <w:t>.)</w:t>
      </w:r>
    </w:p>
    <w:p w14:paraId="3BFE067E" w14:textId="77777777" w:rsidR="007B27A1" w:rsidRPr="00ED7460" w:rsidRDefault="007B27A1" w:rsidP="009707A8">
      <w:pPr>
        <w:pStyle w:val="Heading4"/>
      </w:pPr>
      <w:r>
        <w:t>The economic value of the proposed delay is wholly u</w:t>
      </w:r>
      <w:r w:rsidRPr="00311341">
        <w:t xml:space="preserve">nsupported by </w:t>
      </w:r>
      <w:r w:rsidRPr="00FB7373">
        <w:t>evidence.</w:t>
      </w:r>
    </w:p>
    <w:p w14:paraId="1B4BF2FB" w14:textId="355777B2" w:rsidR="007B27A1" w:rsidRDefault="00FC5D85" w:rsidP="007F46B5">
      <w:pPr>
        <w:pStyle w:val="SSBodyText"/>
      </w:pPr>
      <w:r>
        <w:t xml:space="preserve">PIA </w:t>
      </w:r>
      <w:r w:rsidR="007B27A1">
        <w:t xml:space="preserve">Staff’s proposed delay speculates </w:t>
      </w:r>
      <w:r w:rsidR="005B2EE8">
        <w:t>that there would be</w:t>
      </w:r>
      <w:r w:rsidR="007B27A1">
        <w:t xml:space="preserve"> customer benefits without considering the downsides</w:t>
      </w:r>
      <w:r w:rsidR="007B27A1" w:rsidRPr="00ED7460">
        <w:t xml:space="preserve">. </w:t>
      </w:r>
      <w:r>
        <w:t xml:space="preserve">PIA </w:t>
      </w:r>
      <w:r w:rsidR="007B27A1" w:rsidRPr="00ED7460">
        <w:t>Staff</w:t>
      </w:r>
      <w:r w:rsidR="007B27A1">
        <w:t>’</w:t>
      </w:r>
      <w:r w:rsidR="007B27A1" w:rsidRPr="00ED7460">
        <w:t xml:space="preserve">s </w:t>
      </w:r>
      <w:r w:rsidR="007B27A1">
        <w:t>preferred</w:t>
      </w:r>
      <w:r w:rsidR="007B27A1" w:rsidRPr="00ED7460">
        <w:t xml:space="preserve"> timeline would defer customer access to </w:t>
      </w:r>
      <w:r w:rsidR="007B27A1" w:rsidRPr="007768AE">
        <w:t>58</w:t>
      </w:r>
      <w:r w:rsidR="007B27A1" w:rsidRPr="00ED7460">
        <w:t xml:space="preserve"> MW of clean, cost-effective capacity from </w:t>
      </w:r>
      <w:r w:rsidR="002E69AD">
        <w:t xml:space="preserve">Plant </w:t>
      </w:r>
      <w:r w:rsidR="007B27A1" w:rsidRPr="00ED7460">
        <w:t xml:space="preserve">Hatch </w:t>
      </w:r>
      <w:r w:rsidR="007B27A1" w:rsidRPr="001264D3">
        <w:t>by three years,</w:t>
      </w:r>
      <w:r w:rsidR="007B27A1" w:rsidRPr="00ED7460">
        <w:t xml:space="preserve"> directly undermining the economic</w:t>
      </w:r>
      <w:r w:rsidR="007B27A1">
        <w:t>s</w:t>
      </w:r>
      <w:r w:rsidR="007B27A1" w:rsidRPr="00ED7460">
        <w:t xml:space="preserve"> </w:t>
      </w:r>
      <w:r w:rsidR="007B27A1">
        <w:t>of the projects</w:t>
      </w:r>
      <w:r w:rsidR="007B27A1" w:rsidRPr="00ED7460">
        <w:t>.</w:t>
      </w:r>
      <w:r w:rsidR="007B27A1">
        <w:t xml:space="preserve"> (</w:t>
      </w:r>
      <w:r w:rsidR="003C0FC2">
        <w:t>Tr. 4756</w:t>
      </w:r>
      <w:r w:rsidR="007B27A1">
        <w:t>.)</w:t>
      </w:r>
      <w:r w:rsidR="007B27A1" w:rsidRPr="00980A9A">
        <w:t xml:space="preserve"> </w:t>
      </w:r>
      <w:r w:rsidR="007B27A1">
        <w:t>Notably</w:t>
      </w:r>
      <w:r w:rsidR="007B27A1" w:rsidRPr="00ED7460">
        <w:t xml:space="preserve">, </w:t>
      </w:r>
      <w:r w:rsidR="005677EA">
        <w:t xml:space="preserve">PIA </w:t>
      </w:r>
      <w:r w:rsidR="007B27A1" w:rsidRPr="00ED7460">
        <w:t xml:space="preserve">Staff </w:t>
      </w:r>
      <w:r w:rsidR="007B27A1">
        <w:t>offers no quantitative analysis</w:t>
      </w:r>
      <w:r w:rsidR="007B27A1" w:rsidRPr="00ED7460">
        <w:t xml:space="preserve"> to substantiate the </w:t>
      </w:r>
      <w:r w:rsidR="007B27A1">
        <w:t>alleged</w:t>
      </w:r>
      <w:r w:rsidR="007B27A1" w:rsidRPr="00ED7460">
        <w:t xml:space="preserve"> benefits of the recommended delay. </w:t>
      </w:r>
      <w:r w:rsidR="007B27A1" w:rsidRPr="00A2146A">
        <w:t xml:space="preserve">This lack of substantive analysis underscores the speculative and unsupported nature of </w:t>
      </w:r>
      <w:r w:rsidR="002E69AD">
        <w:t xml:space="preserve">PIA </w:t>
      </w:r>
      <w:r w:rsidR="007B27A1" w:rsidRPr="00A2146A">
        <w:t xml:space="preserve">Staff's delay recommendation. </w:t>
      </w:r>
      <w:r w:rsidR="007B27A1">
        <w:t>In contrast, the record indicates that p</w:t>
      </w:r>
      <w:r w:rsidR="007B27A1" w:rsidRPr="00ED7460">
        <w:t xml:space="preserve">ostponing </w:t>
      </w:r>
      <w:r w:rsidR="007B27A1">
        <w:t xml:space="preserve">these </w:t>
      </w:r>
      <w:r w:rsidR="007B27A1" w:rsidRPr="00ED7460">
        <w:t xml:space="preserve">upgrades pushes benefits further into the future, shortening the overall duration of realized economic value, </w:t>
      </w:r>
      <w:r w:rsidR="007B27A1">
        <w:t xml:space="preserve">and </w:t>
      </w:r>
      <w:r w:rsidR="007B27A1" w:rsidRPr="00ED7460">
        <w:t xml:space="preserve">increasing costs through inflation, extended financing, maintenance, </w:t>
      </w:r>
      <w:r w:rsidR="007B27A1">
        <w:t xml:space="preserve">tax credit applicability, </w:t>
      </w:r>
      <w:r w:rsidR="007B27A1" w:rsidRPr="00ED7460">
        <w:t>and labor retention challenges.</w:t>
      </w:r>
      <w:r w:rsidR="007B27A1">
        <w:t xml:space="preserve"> (</w:t>
      </w:r>
      <w:r w:rsidR="00850150" w:rsidRPr="000F20CE">
        <w:rPr>
          <w:i/>
          <w:iCs/>
        </w:rPr>
        <w:t>Id.</w:t>
      </w:r>
      <w:r w:rsidR="007B27A1">
        <w:t>)</w:t>
      </w:r>
      <w:r w:rsidR="007B27A1" w:rsidRPr="00CA4A47">
        <w:t xml:space="preserve"> </w:t>
      </w:r>
    </w:p>
    <w:p w14:paraId="4BB54D8A" w14:textId="138AEC60" w:rsidR="007B27A1" w:rsidRPr="00674457" w:rsidRDefault="007B27A1" w:rsidP="007F46B5">
      <w:pPr>
        <w:pStyle w:val="SSBodyText"/>
      </w:pPr>
      <w:r>
        <w:t xml:space="preserve">The </w:t>
      </w:r>
      <w:r w:rsidRPr="007077AE">
        <w:t xml:space="preserve">recommendation </w:t>
      </w:r>
      <w:r>
        <w:t xml:space="preserve">to delay the nuclear </w:t>
      </w:r>
      <w:r w:rsidR="00F239C0">
        <w:t xml:space="preserve">upgrades </w:t>
      </w:r>
      <w:r>
        <w:t xml:space="preserve">at Plant Hatch </w:t>
      </w:r>
      <w:r w:rsidRPr="007077AE">
        <w:t xml:space="preserve">contradicts </w:t>
      </w:r>
      <w:r>
        <w:t>PIA Staff’s</w:t>
      </w:r>
      <w:r w:rsidRPr="007077AE">
        <w:t xml:space="preserve"> own </w:t>
      </w:r>
      <w:r w:rsidRPr="0034573A">
        <w:t>mix study</w:t>
      </w:r>
      <w:r w:rsidR="006D6CE4">
        <w:t>, which</w:t>
      </w:r>
      <w:r w:rsidRPr="0034573A">
        <w:t xml:space="preserve"> selects</w:t>
      </w:r>
      <w:r w:rsidRPr="007077AE">
        <w:t xml:space="preserve"> </w:t>
      </w:r>
      <w:r>
        <w:t xml:space="preserve">Plant </w:t>
      </w:r>
      <w:r w:rsidRPr="007077AE">
        <w:t xml:space="preserve">Hatch </w:t>
      </w:r>
      <w:r>
        <w:t>in the first year that it is available using</w:t>
      </w:r>
      <w:r w:rsidRPr="007077AE">
        <w:t xml:space="preserve"> the Company’s analysis</w:t>
      </w:r>
      <w:r w:rsidR="00C0220F">
        <w:t xml:space="preserve">—not after </w:t>
      </w:r>
      <w:r w:rsidR="00F163B0">
        <w:t>the</w:t>
      </w:r>
      <w:r w:rsidRPr="007077AE">
        <w:t xml:space="preserve"> proposed delay</w:t>
      </w:r>
      <w:r w:rsidR="00116CB0">
        <w:t>.</w:t>
      </w:r>
      <w:r w:rsidRPr="007077AE">
        <w:t xml:space="preserve"> (Tr. 18</w:t>
      </w:r>
      <w:r>
        <w:t>38</w:t>
      </w:r>
      <w:r w:rsidR="00116CB0" w:rsidRPr="008A5248">
        <w:t>–</w:t>
      </w:r>
      <w:r w:rsidRPr="007077AE">
        <w:t>39.)</w:t>
      </w:r>
      <w:r>
        <w:t xml:space="preserve"> D</w:t>
      </w:r>
      <w:r w:rsidRPr="00965418">
        <w:t xml:space="preserve">espite acknowledging the current economic viability of the project, </w:t>
      </w:r>
      <w:r w:rsidR="00116CB0">
        <w:t xml:space="preserve">PIA </w:t>
      </w:r>
      <w:r w:rsidRPr="00965418">
        <w:t>Staff disregards the economic detriments of</w:t>
      </w:r>
      <w:r>
        <w:t xml:space="preserve"> a delay. (Tr. </w:t>
      </w:r>
      <w:r>
        <w:lastRenderedPageBreak/>
        <w:t>1689</w:t>
      </w:r>
      <w:r w:rsidR="00AF232E">
        <w:t>,</w:t>
      </w:r>
      <w:r w:rsidR="002F4663">
        <w:t xml:space="preserve"> 4756</w:t>
      </w:r>
      <w:r>
        <w:t>.)</w:t>
      </w:r>
      <w:r w:rsidRPr="00ED7460">
        <w:t xml:space="preserve"> </w:t>
      </w:r>
      <w:r w:rsidR="00E52132">
        <w:t xml:space="preserve">PIA </w:t>
      </w:r>
      <w:r w:rsidR="32DE4C9E">
        <w:t>Staff does not provide</w:t>
      </w:r>
      <w:r w:rsidRPr="00A2146A">
        <w:t xml:space="preserve"> quantifiable evidence to </w:t>
      </w:r>
      <w:r w:rsidR="13000CA5">
        <w:t xml:space="preserve">show lessons learned are worth the economic </w:t>
      </w:r>
      <w:r w:rsidR="00E3297E">
        <w:t>losses that would stem from</w:t>
      </w:r>
      <w:r w:rsidR="13000CA5">
        <w:t xml:space="preserve"> a delay</w:t>
      </w:r>
      <w:r w:rsidR="4A4A9069">
        <w:t>.</w:t>
      </w:r>
      <w:r>
        <w:t xml:space="preserve"> </w:t>
      </w:r>
      <w:r w:rsidRPr="00674457">
        <w:t xml:space="preserve">The </w:t>
      </w:r>
      <w:r>
        <w:t xml:space="preserve">Commission should approve the </w:t>
      </w:r>
      <w:r w:rsidRPr="00674457">
        <w:t>Company’s proposed unit upgrades without modification.</w:t>
      </w:r>
    </w:p>
    <w:p w14:paraId="0EB13424" w14:textId="0B67A0F2" w:rsidR="00E17FC1" w:rsidRPr="004B4080" w:rsidRDefault="007B27A1" w:rsidP="00810075">
      <w:pPr>
        <w:pStyle w:val="Heading3"/>
      </w:pPr>
      <w:bookmarkStart w:id="11" w:name="_Toc202446763"/>
      <w:r w:rsidRPr="00AF3E01">
        <w:t>The Commission should approve Georgia Power’s request to continue investment in its hydro modernization projects.</w:t>
      </w:r>
      <w:bookmarkEnd w:id="11"/>
    </w:p>
    <w:p w14:paraId="6F840DF7" w14:textId="0DD2248B" w:rsidR="007B27A1" w:rsidRDefault="00A906DE" w:rsidP="00A906DE">
      <w:pPr>
        <w:pStyle w:val="SSBodyText"/>
      </w:pPr>
      <w:r>
        <w:t xml:space="preserve">The Commission should approve Georgia Power’s request to complete the hydro modernization projects on its remaining hydro fleet. Maintaining, investing, and operating these emission-free hydro resources will preserve 665 MW of capacity </w:t>
      </w:r>
      <w:r w:rsidRPr="00950D7D">
        <w:t xml:space="preserve">across </w:t>
      </w:r>
      <w:r w:rsidRPr="004B7A6E">
        <w:t>nine</w:t>
      </w:r>
      <w:r w:rsidRPr="00950D7D">
        <w:t xml:space="preserve"> hydroelectric facilities</w:t>
      </w:r>
      <w:r>
        <w:t xml:space="preserve"> for the benefit of customers and </w:t>
      </w:r>
      <w:r w:rsidR="008532BE">
        <w:t xml:space="preserve">will help </w:t>
      </w:r>
      <w:r w:rsidR="007B27A1" w:rsidRPr="00950D7D">
        <w:t>maintain momentum achieved since the</w:t>
      </w:r>
      <w:r w:rsidR="008532BE">
        <w:t xml:space="preserve"> initial</w:t>
      </w:r>
      <w:r w:rsidR="007B27A1" w:rsidRPr="00950D7D">
        <w:t xml:space="preserve"> authorization in 2019.</w:t>
      </w:r>
      <w:r w:rsidR="007B27A1">
        <w:t xml:space="preserve"> (Tr. 142.)</w:t>
      </w:r>
      <w:r w:rsidR="007B27A1" w:rsidRPr="00950D7D">
        <w:t xml:space="preserve"> The original modernization project</w:t>
      </w:r>
      <w:r w:rsidR="00E56832">
        <w:t>s</w:t>
      </w:r>
      <w:r w:rsidR="007B27A1" w:rsidRPr="00950D7D">
        <w:t xml:space="preserve">, approved by the Commission in the 2019 </w:t>
      </w:r>
      <w:r w:rsidR="001101B2">
        <w:t>IRP</w:t>
      </w:r>
      <w:r w:rsidR="007B27A1" w:rsidRPr="00950D7D">
        <w:t>, ha</w:t>
      </w:r>
      <w:r w:rsidR="00E56832">
        <w:t>ve</w:t>
      </w:r>
      <w:r w:rsidR="007B27A1" w:rsidRPr="00950D7D">
        <w:t xml:space="preserve"> already </w:t>
      </w:r>
      <w:r w:rsidR="007B27A1">
        <w:t>seen</w:t>
      </w:r>
      <w:r w:rsidR="007B27A1" w:rsidRPr="00950D7D">
        <w:t xml:space="preserve"> significant progress, successfully </w:t>
      </w:r>
      <w:proofErr w:type="gramStart"/>
      <w:r w:rsidR="007B27A1" w:rsidRPr="00950D7D">
        <w:t>upgrading</w:t>
      </w:r>
      <w:proofErr w:type="gramEnd"/>
      <w:r w:rsidR="007B27A1" w:rsidRPr="00950D7D">
        <w:t xml:space="preserve"> critical infrastructure and enhancing operational efficiency. (</w:t>
      </w:r>
      <w:r w:rsidR="007B27A1">
        <w:t>Tr. 141</w:t>
      </w:r>
      <w:r w:rsidR="001101B2" w:rsidRPr="008A5248">
        <w:t>–</w:t>
      </w:r>
      <w:r w:rsidR="007B27A1">
        <w:t>42.</w:t>
      </w:r>
      <w:r w:rsidR="007B27A1" w:rsidRPr="00950D7D">
        <w:t>)</w:t>
      </w:r>
      <w:r w:rsidR="007B27A1">
        <w:t xml:space="preserve"> </w:t>
      </w:r>
      <w:r w:rsidR="008532BE" w:rsidRPr="008532BE">
        <w:t>Approving the remaining hydro modernization projects now will avoid duplicative spending, streamline project management, and ensure the efficient and effective use of customer dollars. For these reasons, the Commission should approve Georgia Power’s request without modification.</w:t>
      </w:r>
      <w:r w:rsidR="008532BE">
        <w:t xml:space="preserve"> (</w:t>
      </w:r>
      <w:r w:rsidR="00842F2D">
        <w:t xml:space="preserve">Tr. </w:t>
      </w:r>
      <w:r w:rsidR="005578BD">
        <w:t>4757</w:t>
      </w:r>
      <w:r w:rsidR="00535E61" w:rsidRPr="00843ABD">
        <w:t>–</w:t>
      </w:r>
      <w:r w:rsidR="005578BD" w:rsidRPr="00843ABD">
        <w:t>59</w:t>
      </w:r>
      <w:r w:rsidR="00535E61">
        <w:t>.</w:t>
      </w:r>
      <w:r w:rsidR="008532BE">
        <w:t>)</w:t>
      </w:r>
    </w:p>
    <w:p w14:paraId="3818BEBB" w14:textId="133DCDBC" w:rsidR="007B27A1" w:rsidRDefault="0076450A" w:rsidP="008532BE">
      <w:pPr>
        <w:pStyle w:val="SSBodyText"/>
      </w:pPr>
      <w:r>
        <w:t xml:space="preserve">Although </w:t>
      </w:r>
      <w:r w:rsidR="00526E21">
        <w:t xml:space="preserve">PIA </w:t>
      </w:r>
      <w:r w:rsidR="007B27A1">
        <w:t xml:space="preserve">Staff </w:t>
      </w:r>
      <w:r w:rsidR="00451A39">
        <w:t>supports modernization of the hydro fleet</w:t>
      </w:r>
      <w:r>
        <w:t>, it</w:t>
      </w:r>
      <w:r w:rsidR="008720DC">
        <w:t xml:space="preserve"> </w:t>
      </w:r>
      <w:r w:rsidR="007B27A1">
        <w:t xml:space="preserve">recommends </w:t>
      </w:r>
      <w:r>
        <w:t>denying</w:t>
      </w:r>
      <w:r w:rsidR="007B27A1">
        <w:t xml:space="preserve"> the Company’s </w:t>
      </w:r>
      <w:r w:rsidR="007B27A1" w:rsidRPr="002D114E">
        <w:t>request</w:t>
      </w:r>
      <w:r w:rsidR="007B27A1">
        <w:t xml:space="preserve"> </w:t>
      </w:r>
      <w:r w:rsidR="008720DC">
        <w:t>and</w:t>
      </w:r>
      <w:r w:rsidR="00356E6E">
        <w:t xml:space="preserve"> contends</w:t>
      </w:r>
      <w:r w:rsidR="007B27A1" w:rsidRPr="003C26DC">
        <w:t xml:space="preserve"> that further preliminary investigations and engineering studies </w:t>
      </w:r>
      <w:r w:rsidR="00C04793">
        <w:t xml:space="preserve">should be completed </w:t>
      </w:r>
      <w:r w:rsidR="007B27A1" w:rsidRPr="003C26DC">
        <w:t>before committing to comprehensive modernization.</w:t>
      </w:r>
      <w:r w:rsidR="007B27A1">
        <w:t xml:space="preserve"> (Tr. 1692</w:t>
      </w:r>
      <w:r w:rsidR="003F6FFA" w:rsidRPr="008A5248">
        <w:t>–</w:t>
      </w:r>
      <w:r w:rsidR="007B27A1">
        <w:t xml:space="preserve">94.) </w:t>
      </w:r>
      <w:r w:rsidR="00F310A2">
        <w:t xml:space="preserve">PIA </w:t>
      </w:r>
      <w:r w:rsidR="008532BE" w:rsidRPr="008532BE">
        <w:t>Staff’s recommendation is impractical, financially imprudent, and ultimately detrimental to customers. </w:t>
      </w:r>
      <w:r w:rsidR="00842EE6">
        <w:t xml:space="preserve">Although </w:t>
      </w:r>
      <w:r w:rsidR="009F0226">
        <w:t>PIA</w:t>
      </w:r>
      <w:r w:rsidR="008532BE" w:rsidRPr="008532BE">
        <w:t xml:space="preserve"> Staff offers no substantive criticism of the Company’s previously approved </w:t>
      </w:r>
      <w:r w:rsidR="0019008D">
        <w:t>and executed</w:t>
      </w:r>
      <w:r w:rsidR="008532BE" w:rsidRPr="008532BE">
        <w:t xml:space="preserve"> modernization projects, </w:t>
      </w:r>
      <w:r w:rsidR="006B7F93">
        <w:t xml:space="preserve">it contends that the delay would </w:t>
      </w:r>
      <w:r w:rsidR="008526DE">
        <w:t>provide time</w:t>
      </w:r>
      <w:r w:rsidR="006B7F93">
        <w:t xml:space="preserve"> to evaluate the Company’s performance on prior projects when considering the approval of future modernization work. (Tr. 1694.)</w:t>
      </w:r>
      <w:r w:rsidR="008526DE">
        <w:t xml:space="preserve"> </w:t>
      </w:r>
      <w:r w:rsidR="00723B9C">
        <w:t>This concern is unfounded</w:t>
      </w:r>
      <w:r w:rsidR="00733D3A">
        <w:t>.</w:t>
      </w:r>
      <w:r w:rsidR="00723B9C">
        <w:t xml:space="preserve"> PIA Staff</w:t>
      </w:r>
      <w:r w:rsidR="009811C7">
        <w:t xml:space="preserve">’s </w:t>
      </w:r>
      <w:r w:rsidR="000A0AE2" w:rsidRPr="008532BE">
        <w:t>propos</w:t>
      </w:r>
      <w:r w:rsidR="000A0AE2">
        <w:t xml:space="preserve">al to </w:t>
      </w:r>
      <w:r w:rsidR="008532BE" w:rsidRPr="008532BE">
        <w:t xml:space="preserve">delay </w:t>
      </w:r>
      <w:r w:rsidR="000A0AE2">
        <w:lastRenderedPageBreak/>
        <w:t xml:space="preserve">additional </w:t>
      </w:r>
      <w:r w:rsidR="009811C7">
        <w:t>hydro</w:t>
      </w:r>
      <w:r w:rsidR="008532BE" w:rsidRPr="008532BE">
        <w:t xml:space="preserve"> </w:t>
      </w:r>
      <w:r w:rsidR="00B1631E">
        <w:t xml:space="preserve">modernizations projects </w:t>
      </w:r>
      <w:r w:rsidR="008532BE" w:rsidRPr="008532BE">
        <w:t>until 2028 lacks a reasoned basi</w:t>
      </w:r>
      <w:r w:rsidR="008532BE">
        <w:t>s</w:t>
      </w:r>
      <w:r w:rsidR="002A25E4">
        <w:t xml:space="preserve"> and </w:t>
      </w:r>
      <w:r w:rsidR="00035740">
        <w:t xml:space="preserve">would cause additional, unnecessary costs </w:t>
      </w:r>
      <w:r w:rsidR="002A25E4">
        <w:t>for customers</w:t>
      </w:r>
      <w:r w:rsidR="008532BE">
        <w:t xml:space="preserve">. </w:t>
      </w:r>
      <w:r w:rsidR="007B27A1">
        <w:t>(Tr. 1692</w:t>
      </w:r>
      <w:r w:rsidR="00E56477" w:rsidRPr="008A5248">
        <w:t>–</w:t>
      </w:r>
      <w:r w:rsidR="007B27A1">
        <w:t>94.)</w:t>
      </w:r>
      <w:r w:rsidR="007B27A1" w:rsidRPr="002F7724">
        <w:t xml:space="preserve"> </w:t>
      </w:r>
    </w:p>
    <w:p w14:paraId="2859EB78" w14:textId="2B1D3618" w:rsidR="007B27A1" w:rsidRPr="005C30A6" w:rsidRDefault="007B27A1" w:rsidP="007F46B5">
      <w:pPr>
        <w:pStyle w:val="SSBodyText"/>
        <w:rPr>
          <w:highlight w:val="yellow"/>
        </w:rPr>
      </w:pPr>
      <w:r w:rsidRPr="00D8181B">
        <w:t>Continued modernization of Georgia Power</w:t>
      </w:r>
      <w:r w:rsidR="002F466D">
        <w:t>’</w:t>
      </w:r>
      <w:r w:rsidRPr="00D8181B">
        <w:t xml:space="preserve">s hydroelectric facilities represents the least cost alternative for customers. </w:t>
      </w:r>
      <w:r w:rsidRPr="00AC3C76">
        <w:t xml:space="preserve">The Company’s cost-benefit analyses demonstrate that sustained investment in hydro modernization significantly outperforms other alternatives, such as dam removal or </w:t>
      </w:r>
      <w:r>
        <w:t>unit retrofit</w:t>
      </w:r>
      <w:r w:rsidRPr="00AC3C76">
        <w:t xml:space="preserve">, from both financial and operational </w:t>
      </w:r>
      <w:r w:rsidRPr="00266E55">
        <w:t xml:space="preserve">standpoints. </w:t>
      </w:r>
      <w:r w:rsidR="002F466D">
        <w:t>(</w:t>
      </w:r>
      <w:r w:rsidR="006A6AB9">
        <w:t>Tr. 4758</w:t>
      </w:r>
      <w:r w:rsidR="00D5646A">
        <w:t>–59.</w:t>
      </w:r>
      <w:r w:rsidR="002F466D">
        <w:t xml:space="preserve">) PIA </w:t>
      </w:r>
      <w:r w:rsidRPr="00266E55">
        <w:t xml:space="preserve">Staff’s recommended delay fails to adequately </w:t>
      </w:r>
      <w:r w:rsidR="005928E5" w:rsidRPr="00266E55">
        <w:t xml:space="preserve">account </w:t>
      </w:r>
      <w:r w:rsidRPr="00266E55">
        <w:t>for economies of scale and the comprehensive efficiencies that are achievable through coordinated modernization efforts. (</w:t>
      </w:r>
      <w:r w:rsidR="00D5646A">
        <w:t>Tr. 4758</w:t>
      </w:r>
      <w:r>
        <w:t>.</w:t>
      </w:r>
      <w:r w:rsidRPr="00295369">
        <w:t xml:space="preserve">) The Company’s approach not only preserves the longevity and reliability of existing hydro </w:t>
      </w:r>
      <w:r w:rsidR="00FD096D" w:rsidRPr="00295369">
        <w:t>assets</w:t>
      </w:r>
      <w:r w:rsidR="00FD096D">
        <w:t xml:space="preserve"> but</w:t>
      </w:r>
      <w:r w:rsidRPr="00295369">
        <w:t xml:space="preserve"> does so at </w:t>
      </w:r>
      <w:r>
        <w:t>the lowest cost option for customers</w:t>
      </w:r>
      <w:r w:rsidRPr="00295369">
        <w:t>. (</w:t>
      </w:r>
      <w:r w:rsidR="00D5646A">
        <w:t>Tr. 4758–59</w:t>
      </w:r>
      <w:r w:rsidRPr="00295369">
        <w:t>.)</w:t>
      </w:r>
    </w:p>
    <w:p w14:paraId="1CAB24C6" w14:textId="46EDA9DF" w:rsidR="007B27A1" w:rsidRPr="005E7419" w:rsidRDefault="007B27A1" w:rsidP="007F46B5">
      <w:pPr>
        <w:pStyle w:val="SSBodyText"/>
      </w:pPr>
      <w:r w:rsidRPr="00967DA9">
        <w:t xml:space="preserve">Moreover, </w:t>
      </w:r>
      <w:r w:rsidR="0065444E">
        <w:t xml:space="preserve">PIA </w:t>
      </w:r>
      <w:r w:rsidRPr="00075C2E">
        <w:t>Staff's proposal to limit investment to preliminary investigations and engineering studies prior to committing to comprehensive hydro modernization is</w:t>
      </w:r>
      <w:r>
        <w:t xml:space="preserve"> impractical and</w:t>
      </w:r>
      <w:r w:rsidRPr="00075C2E">
        <w:t xml:space="preserve"> financially imprudent. </w:t>
      </w:r>
      <w:r w:rsidRPr="000D0495">
        <w:t>Hydro</w:t>
      </w:r>
      <w:r>
        <w:t>electric</w:t>
      </w:r>
      <w:r w:rsidRPr="000D0495">
        <w:t xml:space="preserve"> plants, by their nature, are uniquely site-specific, with individual turbines, infrastructure, and operational requirements differing substantially among </w:t>
      </w:r>
      <w:r w:rsidRPr="00AF7045">
        <w:t>facilities. (</w:t>
      </w:r>
      <w:r w:rsidR="00D5646A">
        <w:t>Tr. 4757</w:t>
      </w:r>
      <w:r>
        <w:t>.)</w:t>
      </w:r>
      <w:r w:rsidR="007F64B8" w:rsidRPr="007F64B8">
        <w:t xml:space="preserve"> </w:t>
      </w:r>
      <w:r w:rsidR="007F64B8">
        <w:t xml:space="preserve">Because the engineers design </w:t>
      </w:r>
      <w:r w:rsidR="003A4674">
        <w:t xml:space="preserve">a </w:t>
      </w:r>
      <w:r w:rsidR="007F64B8">
        <w:t>custom replacement around the turbine, it must be procured prior to the commencement of any engineering work. (</w:t>
      </w:r>
      <w:r w:rsidR="00CA5C37">
        <w:t>Tr. 4757</w:t>
      </w:r>
      <w:r w:rsidR="00FA58E1" w:rsidRPr="00CA5C37">
        <w:t>–</w:t>
      </w:r>
      <w:r w:rsidR="00CA5C37" w:rsidRPr="00CA5C37">
        <w:t>58</w:t>
      </w:r>
      <w:r w:rsidR="007F64B8" w:rsidRPr="00CA5C37">
        <w:t>.)</w:t>
      </w:r>
      <w:r>
        <w:t xml:space="preserve"> </w:t>
      </w:r>
      <w:r w:rsidRPr="00185F93">
        <w:t>Unlike other generation resources, any preliminary engineering performed before the procurement of equipment would not be usable, and the same work would likely need to be repeated after the equipment is actually procured.</w:t>
      </w:r>
      <w:r>
        <w:t xml:space="preserve"> (</w:t>
      </w:r>
      <w:r w:rsidR="00CA5C37">
        <w:t>Tr. 4758</w:t>
      </w:r>
      <w:r>
        <w:t xml:space="preserve">.) </w:t>
      </w:r>
      <w:r w:rsidRPr="00D81122">
        <w:t>Such approach would unnecessarily front-load duplicative engineering and design expenses. (</w:t>
      </w:r>
      <w:r w:rsidR="00F63B5C" w:rsidRPr="00F63B5C">
        <w:rPr>
          <w:i/>
          <w:iCs/>
        </w:rPr>
        <w:t>Id</w:t>
      </w:r>
      <w:r w:rsidRPr="00F63B5C">
        <w:rPr>
          <w:i/>
        </w:rPr>
        <w:t>.</w:t>
      </w:r>
      <w:r>
        <w:t>)</w:t>
      </w:r>
    </w:p>
    <w:p w14:paraId="6CAE9306" w14:textId="120756CA" w:rsidR="007B27A1" w:rsidRPr="006B2DEC" w:rsidRDefault="007B27A1" w:rsidP="007F46B5">
      <w:pPr>
        <w:pStyle w:val="SSBodyText"/>
      </w:pPr>
      <w:r w:rsidRPr="007A526E">
        <w:t>Initial engineering and feasibility studies already undertaken by Georgia Power demonstrate sufficient planning and a clear pathway to successful project completion. Any perceived incremental benefits of additional preliminary studies, as suggested by</w:t>
      </w:r>
      <w:r w:rsidR="00AD59A0">
        <w:t xml:space="preserve"> PIA</w:t>
      </w:r>
      <w:r w:rsidRPr="007A526E">
        <w:t xml:space="preserve"> Staff, do not </w:t>
      </w:r>
      <w:r w:rsidRPr="007A526E">
        <w:lastRenderedPageBreak/>
        <w:t>justify their additional costs, particularly where delaying full modernization efforts would necessarily result in repeated expenditures for re-engineering and project management. In contrast, approval of the remaining hydro modernization projects avoids redundant spending, streamlines project management, and ensures that customer dollars are spent efficiently and effectively. For these reasons, the Commission should</w:t>
      </w:r>
      <w:r>
        <w:t xml:space="preserve"> </w:t>
      </w:r>
      <w:r w:rsidRPr="00950D7D">
        <w:t xml:space="preserve">approve continued investment in </w:t>
      </w:r>
      <w:r w:rsidR="003A4674">
        <w:t xml:space="preserve">the </w:t>
      </w:r>
      <w:r w:rsidR="001F054D">
        <w:t>Company’s</w:t>
      </w:r>
      <w:r w:rsidR="003A4674" w:rsidRPr="00950D7D">
        <w:t xml:space="preserve"> </w:t>
      </w:r>
      <w:r w:rsidRPr="00950D7D">
        <w:t>hydro modernization program</w:t>
      </w:r>
      <w:r w:rsidR="003A4674">
        <w:t>, as proposed in the IRP</w:t>
      </w:r>
      <w:r>
        <w:t>.</w:t>
      </w:r>
    </w:p>
    <w:p w14:paraId="4EBE8273" w14:textId="77777777" w:rsidR="004A1857" w:rsidRDefault="004A1857" w:rsidP="004A1857">
      <w:pPr>
        <w:pStyle w:val="Heading3"/>
      </w:pPr>
      <w:bookmarkStart w:id="12" w:name="_Toc202446764"/>
      <w:r>
        <w:t>The Commission should approve the Company’s proposed wholesale-to-retail offering from Plant Scherer Unit 3 without modification.</w:t>
      </w:r>
      <w:bookmarkEnd w:id="12"/>
    </w:p>
    <w:p w14:paraId="7D9F577C" w14:textId="4174D0AD" w:rsidR="004A1857" w:rsidRDefault="004A1857" w:rsidP="004A1857">
      <w:pPr>
        <w:pStyle w:val="SSBodyText"/>
      </w:pPr>
      <w:r>
        <w:t>The Company seeks to certify approximately 187 MW of capacity from Plant Scherer Unit</w:t>
      </w:r>
      <w:r w:rsidR="00733D3A">
        <w:t> </w:t>
      </w:r>
      <w:r>
        <w:t xml:space="preserve">3, offered in four wholesale blocks, and make this capacity available to the retail jurisdiction consistent with the Commission’s previously approved Wholesale Action Plan. (Tr. 152–53.) If the Commission accepts the Company’s offer of wholesale capacity, the Company also asks that it be certified. </w:t>
      </w:r>
      <w:r w:rsidR="00E52132">
        <w:t xml:space="preserve">PIA </w:t>
      </w:r>
      <w:r>
        <w:t xml:space="preserve">Staff testified that this wholesale-to-retail offer was a “close call,” and recommended that Blocks 1–3 should be the first additional resources procured, if the Commission decides to take more capacity than what </w:t>
      </w:r>
      <w:r w:rsidR="00E52132">
        <w:t xml:space="preserve">PIA </w:t>
      </w:r>
      <w:r>
        <w:t>Staff recommends. They further recommend the consideration of Block 4 only if the Company agrees to certain conditions.</w:t>
      </w:r>
    </w:p>
    <w:p w14:paraId="64EC1B7E" w14:textId="5A4595C0" w:rsidR="004A1857" w:rsidRDefault="004A1857" w:rsidP="004A1857">
      <w:pPr>
        <w:pStyle w:val="SSBodyText"/>
      </w:pPr>
      <w:r>
        <w:t xml:space="preserve">The Commission should approve the Company’s request </w:t>
      </w:r>
      <w:r w:rsidR="00AD1092">
        <w:t xml:space="preserve">as proposed </w:t>
      </w:r>
      <w:r>
        <w:t>because the</w:t>
      </w:r>
      <w:r w:rsidR="00733D3A">
        <w:t>se</w:t>
      </w:r>
      <w:r>
        <w:t xml:space="preserve"> 187 MW provide a reliable source of capacity and energy from existing resources. (Tr. 154.) Additionally, the megawatts are included in retail rate base at a cost-effective market price during a time of capacity need. Further, the offer poses very little</w:t>
      </w:r>
      <w:r w:rsidR="000856B1">
        <w:t>, if any,</w:t>
      </w:r>
      <w:r>
        <w:t xml:space="preserve"> risk because the capacity associated with the proposal can be reliably deployed for retail use, comes with no construction risks, and requires no additional transmission projects. (</w:t>
      </w:r>
      <w:r w:rsidR="6887BEE8">
        <w:t>Tr. 4772</w:t>
      </w:r>
      <w:r>
        <w:t xml:space="preserve">.) As the extension of Plant Scherer is economical, it is advantageous to maximize the megawatts associated with the unit to </w:t>
      </w:r>
      <w:r>
        <w:lastRenderedPageBreak/>
        <w:t xml:space="preserve">serve customer capacity needs. </w:t>
      </w:r>
      <w:r w:rsidR="00AD1092">
        <w:t>Therefore, c</w:t>
      </w:r>
      <w:r>
        <w:t>ontrary to</w:t>
      </w:r>
      <w:r w:rsidR="00E52132">
        <w:t xml:space="preserve"> PIA</w:t>
      </w:r>
      <w:r>
        <w:t xml:space="preserve"> Staff’s recommendation, the Commission should acquire all four blocks in order to maximize economic and reliable capacity during a time of capacity and energy need. (</w:t>
      </w:r>
      <w:r>
        <w:rPr>
          <w:i/>
          <w:iCs/>
        </w:rPr>
        <w:t>Id.</w:t>
      </w:r>
      <w:r>
        <w:t>)</w:t>
      </w:r>
    </w:p>
    <w:p w14:paraId="69D164DE" w14:textId="44155CF7" w:rsidR="005949CB" w:rsidRPr="004B4080" w:rsidRDefault="00FB23A0" w:rsidP="00810075">
      <w:pPr>
        <w:pStyle w:val="Heading3"/>
      </w:pPr>
      <w:bookmarkStart w:id="13" w:name="_Toc202347437"/>
      <w:bookmarkStart w:id="14" w:name="_Toc202446765"/>
      <w:bookmarkEnd w:id="13"/>
      <w:r w:rsidRPr="00BD6B40">
        <w:t xml:space="preserve">The Commission should approve the Company’s proposed enhancements to the </w:t>
      </w:r>
      <w:r w:rsidR="00165284" w:rsidRPr="00BD6B40">
        <w:t>U</w:t>
      </w:r>
      <w:r w:rsidRPr="00BD6B40">
        <w:t>tility</w:t>
      </w:r>
      <w:r w:rsidR="00246B02">
        <w:t xml:space="preserve"> </w:t>
      </w:r>
      <w:r w:rsidR="00165284" w:rsidRPr="00BD6B40">
        <w:t>S</w:t>
      </w:r>
      <w:r w:rsidRPr="00BD6B40">
        <w:t>cale and distributed generation (“DG”) RFPs.</w:t>
      </w:r>
      <w:bookmarkEnd w:id="14"/>
    </w:p>
    <w:p w14:paraId="2A5ED590" w14:textId="222398E7" w:rsidR="008B02CD" w:rsidRDefault="002C3BA8" w:rsidP="007F46B5">
      <w:pPr>
        <w:pStyle w:val="SSBodyText"/>
      </w:pPr>
      <w:r>
        <w:t>The Commission should approve the Company’s proposed Utility</w:t>
      </w:r>
      <w:r w:rsidR="00246B02">
        <w:t xml:space="preserve"> </w:t>
      </w:r>
      <w:r>
        <w:t>Scale and DG RFP enhancements as reasonable and appropriate in this proceeding. The proposed enhancements will improve processes and flexibility to create efficienc</w:t>
      </w:r>
      <w:r w:rsidR="0006194D">
        <w:t>ies</w:t>
      </w:r>
      <w:r>
        <w:t xml:space="preserve"> and evolve</w:t>
      </w:r>
      <w:r w:rsidR="008B02CD">
        <w:t xml:space="preserve"> the Company’s procurement strategy. </w:t>
      </w:r>
      <w:r w:rsidR="00165284">
        <w:t xml:space="preserve">Specific to its </w:t>
      </w:r>
      <w:r w:rsidR="008B02CD">
        <w:t xml:space="preserve">Utility </w:t>
      </w:r>
      <w:r w:rsidR="00BD6B40">
        <w:t xml:space="preserve">Scale </w:t>
      </w:r>
      <w:r w:rsidR="008B02CD">
        <w:t>procurements, Georgia Power proposes</w:t>
      </w:r>
      <w:r>
        <w:t>: (1)</w:t>
      </w:r>
      <w:r w:rsidR="000D162C">
        <w:t xml:space="preserve"> to implement</w:t>
      </w:r>
      <w:r w:rsidR="008B02CD">
        <w:t xml:space="preserve"> flexible Required Commercial Ope</w:t>
      </w:r>
      <w:r w:rsidR="008B02CD" w:rsidRPr="00252603">
        <w:t>ration Dates</w:t>
      </w:r>
      <w:r w:rsidR="003A4674" w:rsidRPr="00252603">
        <w:t>;</w:t>
      </w:r>
      <w:r w:rsidR="008B02CD" w:rsidRPr="00252603">
        <w:t xml:space="preserve"> and </w:t>
      </w:r>
      <w:r w:rsidRPr="00252603">
        <w:t xml:space="preserve">(2) </w:t>
      </w:r>
      <w:r w:rsidR="008B02CD" w:rsidRPr="00252603">
        <w:t xml:space="preserve">to continue to consider the use of Transmission System operational tools and flexibility to support interconnection viability. </w:t>
      </w:r>
      <w:r w:rsidR="00165284" w:rsidRPr="00252603">
        <w:t>(</w:t>
      </w:r>
      <w:r w:rsidR="00252603" w:rsidRPr="00252603">
        <w:t>Tr. 5058</w:t>
      </w:r>
      <w:r w:rsidR="00B02D61" w:rsidRPr="00252603">
        <w:t>.</w:t>
      </w:r>
      <w:r w:rsidR="00165284" w:rsidRPr="00252603">
        <w:t xml:space="preserve">) </w:t>
      </w:r>
      <w:r w:rsidR="008B02CD" w:rsidRPr="00252603">
        <w:t>For its DG procurements</w:t>
      </w:r>
      <w:r w:rsidR="008B02CD">
        <w:t>, the Company has proposed</w:t>
      </w:r>
      <w:r w:rsidR="00C613D2">
        <w:t xml:space="preserve">: (1) </w:t>
      </w:r>
      <w:r w:rsidR="008B02CD">
        <w:t>updating the</w:t>
      </w:r>
      <w:r w:rsidR="00802D04">
        <w:t xml:space="preserve"> Renewable Cost Benefit (“</w:t>
      </w:r>
      <w:proofErr w:type="spellStart"/>
      <w:r w:rsidR="008B02CD">
        <w:t>RCB</w:t>
      </w:r>
      <w:proofErr w:type="spellEnd"/>
      <w:r w:rsidR="00802D04">
        <w:t>”)</w:t>
      </w:r>
      <w:r w:rsidR="008B02CD">
        <w:t xml:space="preserve"> Framework to consider the locational value of a project to incentivize strategic siting</w:t>
      </w:r>
      <w:r w:rsidR="003A4674">
        <w:t>;</w:t>
      </w:r>
      <w:r w:rsidR="00C613D2">
        <w:t xml:space="preserve"> </w:t>
      </w:r>
      <w:r w:rsidR="008712CC">
        <w:t>(</w:t>
      </w:r>
      <w:r w:rsidR="00401DE6">
        <w:t xml:space="preserve">2) </w:t>
      </w:r>
      <w:r w:rsidR="000F4CAB">
        <w:t xml:space="preserve">to </w:t>
      </w:r>
      <w:r w:rsidR="00CA7CE6">
        <w:t xml:space="preserve">allow for </w:t>
      </w:r>
      <w:r w:rsidR="002E4FFA">
        <w:t>battery energy storage to be included</w:t>
      </w:r>
      <w:r w:rsidR="000F6A2C">
        <w:t>;</w:t>
      </w:r>
      <w:r w:rsidR="00F06183">
        <w:t xml:space="preserve"> </w:t>
      </w:r>
      <w:r w:rsidR="00C613D2">
        <w:t>and (</w:t>
      </w:r>
      <w:r w:rsidR="00F06183">
        <w:t>3</w:t>
      </w:r>
      <w:r w:rsidR="00C613D2">
        <w:t>)</w:t>
      </w:r>
      <w:r w:rsidR="000D162C">
        <w:t xml:space="preserve"> </w:t>
      </w:r>
      <w:r w:rsidR="008B02CD">
        <w:t xml:space="preserve">to make the DG procured available for customer subscription and for additional resources to be procured if beneficial for </w:t>
      </w:r>
      <w:r w:rsidR="008B02CD" w:rsidRPr="00252603">
        <w:t xml:space="preserve">customers. </w:t>
      </w:r>
      <w:r w:rsidR="00165284" w:rsidRPr="00252603">
        <w:rPr>
          <w:lang w:eastAsia="en-US"/>
        </w:rPr>
        <w:t>(</w:t>
      </w:r>
      <w:r w:rsidR="00165284" w:rsidRPr="00252603">
        <w:rPr>
          <w:i/>
          <w:iCs/>
          <w:lang w:eastAsia="en-US"/>
        </w:rPr>
        <w:t>Id.</w:t>
      </w:r>
      <w:r w:rsidR="00165284" w:rsidRPr="00252603">
        <w:rPr>
          <w:lang w:eastAsia="en-US"/>
        </w:rPr>
        <w:t>)</w:t>
      </w:r>
    </w:p>
    <w:p w14:paraId="1333AD36" w14:textId="1946CF5E" w:rsidR="008B02CD" w:rsidRDefault="008B02CD" w:rsidP="007F46B5">
      <w:pPr>
        <w:pStyle w:val="SSBodyText"/>
        <w:rPr>
          <w:lang w:val="x-none"/>
        </w:rPr>
      </w:pPr>
      <w:r>
        <w:t xml:space="preserve">For both the DG and Utility Scale renewable procurements, Georgia Power proposes to offer a submission price refresh and extended RFP period </w:t>
      </w:r>
      <w:r w:rsidR="006C5F8D">
        <w:t>if</w:t>
      </w:r>
      <w:r>
        <w:t xml:space="preserve"> there are outstanding customer subscription needs. </w:t>
      </w:r>
      <w:r w:rsidR="002173BD">
        <w:t>(</w:t>
      </w:r>
      <w:r w:rsidR="002173BD" w:rsidRPr="00393AA7">
        <w:t>Tr. 193–94</w:t>
      </w:r>
      <w:r w:rsidR="002173BD">
        <w:t xml:space="preserve">.) </w:t>
      </w:r>
      <w:r w:rsidR="00954CC0">
        <w:t xml:space="preserve">In the </w:t>
      </w:r>
      <w:r w:rsidR="00A55FBE">
        <w:t>s</w:t>
      </w:r>
      <w:r w:rsidR="00954CC0">
        <w:t>ubmission price refresh process</w:t>
      </w:r>
      <w:r>
        <w:t>, fully evaluated but not select</w:t>
      </w:r>
      <w:r w:rsidR="00165284">
        <w:t>ed</w:t>
      </w:r>
      <w:r>
        <w:t xml:space="preserve"> proposals </w:t>
      </w:r>
      <w:r w:rsidRPr="004C57B8">
        <w:rPr>
          <w:lang w:val="x-none"/>
        </w:rPr>
        <w:t xml:space="preserve">would be offered the opportunity to refresh their pricing </w:t>
      </w:r>
      <w:r w:rsidR="00165284">
        <w:rPr>
          <w:lang w:val="x-none"/>
        </w:rPr>
        <w:t xml:space="preserve">in a manner </w:t>
      </w:r>
      <w:r w:rsidR="003A4674">
        <w:rPr>
          <w:lang w:val="x-none"/>
        </w:rPr>
        <w:t xml:space="preserve">that allows </w:t>
      </w:r>
      <w:r w:rsidR="00165284">
        <w:rPr>
          <w:lang w:val="x-none"/>
        </w:rPr>
        <w:t>the</w:t>
      </w:r>
      <w:r w:rsidRPr="004C57B8">
        <w:rPr>
          <w:lang w:val="x-none"/>
        </w:rPr>
        <w:t xml:space="preserve"> project</w:t>
      </w:r>
      <w:r w:rsidR="00165284">
        <w:rPr>
          <w:lang w:val="x-none"/>
        </w:rPr>
        <w:t xml:space="preserve"> to</w:t>
      </w:r>
      <w:r w:rsidRPr="004C57B8">
        <w:rPr>
          <w:lang w:val="x-none"/>
        </w:rPr>
        <w:t xml:space="preserve"> deliver benefits to all customers </w:t>
      </w:r>
      <w:r w:rsidR="00165284">
        <w:rPr>
          <w:lang w:val="x-none"/>
        </w:rPr>
        <w:t xml:space="preserve">that are </w:t>
      </w:r>
      <w:r w:rsidRPr="004C57B8">
        <w:rPr>
          <w:lang w:val="x-none"/>
        </w:rPr>
        <w:t xml:space="preserve">equal to the average total net benefit of the selected </w:t>
      </w:r>
      <w:r>
        <w:rPr>
          <w:lang w:val="x-none"/>
        </w:rPr>
        <w:t>proposals</w:t>
      </w:r>
      <w:r w:rsidRPr="004C57B8">
        <w:rPr>
          <w:lang w:val="x-none"/>
        </w:rPr>
        <w:t xml:space="preserve">. </w:t>
      </w:r>
      <w:r>
        <w:rPr>
          <w:lang w:val="x-none"/>
        </w:rPr>
        <w:t>Next,</w:t>
      </w:r>
      <w:r w:rsidRPr="004C57B8">
        <w:rPr>
          <w:lang w:val="x-none"/>
        </w:rPr>
        <w:t xml:space="preserve"> </w:t>
      </w:r>
      <w:r w:rsidR="001F0442">
        <w:t>during the extended RFP period</w:t>
      </w:r>
      <w:r>
        <w:t>,</w:t>
      </w:r>
      <w:r w:rsidRPr="004C57B8">
        <w:rPr>
          <w:lang w:val="x-none"/>
        </w:rPr>
        <w:t xml:space="preserve"> the Company proposes to allow </w:t>
      </w:r>
      <w:r w:rsidR="00DE5F85">
        <w:rPr>
          <w:lang w:val="x-none"/>
        </w:rPr>
        <w:t xml:space="preserve">customers to work with developers </w:t>
      </w:r>
      <w:r w:rsidR="00362860">
        <w:rPr>
          <w:lang w:val="x-none"/>
        </w:rPr>
        <w:t>with the goal of</w:t>
      </w:r>
      <w:r w:rsidR="00DE5F85">
        <w:rPr>
          <w:lang w:val="x-none"/>
        </w:rPr>
        <w:t xml:space="preserve"> submit</w:t>
      </w:r>
      <w:r w:rsidR="00362860">
        <w:rPr>
          <w:lang w:val="x-none"/>
        </w:rPr>
        <w:t>ting</w:t>
      </w:r>
      <w:r w:rsidR="00DE5F85">
        <w:rPr>
          <w:lang w:val="x-none"/>
        </w:rPr>
        <w:t xml:space="preserve"> </w:t>
      </w:r>
      <w:r w:rsidRPr="004C57B8">
        <w:rPr>
          <w:lang w:val="x-none"/>
        </w:rPr>
        <w:t xml:space="preserve">new projects at </w:t>
      </w:r>
      <w:r w:rsidR="00362860">
        <w:rPr>
          <w:lang w:val="x-none"/>
        </w:rPr>
        <w:t xml:space="preserve">or below price </w:t>
      </w:r>
      <w:r w:rsidR="00362860">
        <w:rPr>
          <w:lang w:val="x-none"/>
        </w:rPr>
        <w:lastRenderedPageBreak/>
        <w:t xml:space="preserve">targets </w:t>
      </w:r>
      <w:r w:rsidRPr="004C57B8">
        <w:rPr>
          <w:lang w:val="x-none"/>
        </w:rPr>
        <w:t xml:space="preserve">that </w:t>
      </w:r>
      <w:r w:rsidR="00362860">
        <w:rPr>
          <w:lang w:val="x-none"/>
        </w:rPr>
        <w:t xml:space="preserve">result in a total net benefit that is greater than or </w:t>
      </w:r>
      <w:r w:rsidRPr="004C57B8">
        <w:rPr>
          <w:lang w:val="x-none"/>
        </w:rPr>
        <w:t>equal to the average total net benefit of the selected portfolio</w:t>
      </w:r>
      <w:r>
        <w:rPr>
          <w:lang w:val="x-none"/>
        </w:rPr>
        <w:t xml:space="preserve">. </w:t>
      </w:r>
      <w:r w:rsidR="002173BD">
        <w:rPr>
          <w:lang w:val="x-none"/>
        </w:rPr>
        <w:t>(</w:t>
      </w:r>
      <w:r w:rsidR="00393AA7">
        <w:rPr>
          <w:i/>
          <w:iCs/>
        </w:rPr>
        <w:t>Id</w:t>
      </w:r>
      <w:r w:rsidR="002173BD">
        <w:rPr>
          <w:i/>
        </w:rPr>
        <w:t>.</w:t>
      </w:r>
      <w:r w:rsidR="002173BD">
        <w:rPr>
          <w:lang w:val="x-none"/>
        </w:rPr>
        <w:t xml:space="preserve">) </w:t>
      </w:r>
      <w:r>
        <w:rPr>
          <w:lang w:val="x-none"/>
        </w:rPr>
        <w:t xml:space="preserve">This </w:t>
      </w:r>
      <w:r w:rsidRPr="004C57B8">
        <w:rPr>
          <w:lang w:val="x-none"/>
        </w:rPr>
        <w:t>Customer Identified Resource (“CIR”)</w:t>
      </w:r>
      <w:r>
        <w:rPr>
          <w:lang w:val="x-none"/>
        </w:rPr>
        <w:t xml:space="preserve"> option</w:t>
      </w:r>
      <w:r w:rsidRPr="004C57B8">
        <w:rPr>
          <w:lang w:val="x-none"/>
        </w:rPr>
        <w:t xml:space="preserve"> allow</w:t>
      </w:r>
      <w:r>
        <w:rPr>
          <w:lang w:val="x-none"/>
        </w:rPr>
        <w:t>s</w:t>
      </w:r>
      <w:r w:rsidRPr="004C57B8">
        <w:rPr>
          <w:lang w:val="x-none"/>
        </w:rPr>
        <w:t xml:space="preserve"> interested customers to work with project developers to identify resources to fill outstanding subscription needs</w:t>
      </w:r>
      <w:r w:rsidR="00362860">
        <w:rPr>
          <w:lang w:val="x-none"/>
        </w:rPr>
        <w:t>.</w:t>
      </w:r>
      <w:r w:rsidR="009E2E11">
        <w:rPr>
          <w:lang w:val="x-none"/>
        </w:rPr>
        <w:t xml:space="preserve"> (</w:t>
      </w:r>
      <w:r w:rsidR="009E2E11" w:rsidRPr="00617040">
        <w:rPr>
          <w:lang w:val="x-none"/>
        </w:rPr>
        <w:t>Tr. 2</w:t>
      </w:r>
      <w:r w:rsidR="005A7D65" w:rsidRPr="00617040">
        <w:rPr>
          <w:lang w:val="x-none"/>
        </w:rPr>
        <w:t>17</w:t>
      </w:r>
      <w:r w:rsidR="009E2E11">
        <w:rPr>
          <w:lang w:val="x-none"/>
        </w:rPr>
        <w:t>.)</w:t>
      </w:r>
      <w:r w:rsidRPr="004C57B8">
        <w:rPr>
          <w:lang w:val="x-none"/>
        </w:rPr>
        <w:t xml:space="preserve"> Proposals submitted as </w:t>
      </w:r>
      <w:proofErr w:type="spellStart"/>
      <w:r>
        <w:rPr>
          <w:lang w:val="x-none"/>
        </w:rPr>
        <w:t>CIRs</w:t>
      </w:r>
      <w:proofErr w:type="spellEnd"/>
      <w:r>
        <w:rPr>
          <w:lang w:val="x-none"/>
        </w:rPr>
        <w:t xml:space="preserve"> would undergo a full economic and interconnection analysis by the Company to ensure that the final pricing secures the resources in a manner that preserves benefits and remains protective of all customers.</w:t>
      </w:r>
    </w:p>
    <w:p w14:paraId="4088B76D" w14:textId="2524E82F" w:rsidR="008B02CD" w:rsidRPr="00601948" w:rsidRDefault="008B02CD" w:rsidP="007F46B5">
      <w:pPr>
        <w:pStyle w:val="SSBodyText"/>
      </w:pPr>
      <w:r w:rsidRPr="2C088F7A">
        <w:t xml:space="preserve">The Company disagrees with </w:t>
      </w:r>
      <w:proofErr w:type="spellStart"/>
      <w:r w:rsidRPr="2C088F7A">
        <w:t>CEBA’s</w:t>
      </w:r>
      <w:proofErr w:type="spellEnd"/>
      <w:r w:rsidRPr="2C088F7A">
        <w:t xml:space="preserve"> recommendation to bypass the Commission-approved RFP process and implement its CIR option on a rolling basis. As proposed, the CIR option would be included as part of a competitive RFP. This means that any proposed CIR would be fully evaluated by the Company consistent with the resources selected through the RFP and would only be selected if deemed beneficial to all customers. By matching the price targets for </w:t>
      </w:r>
      <w:proofErr w:type="spellStart"/>
      <w:r w:rsidRPr="2C088F7A">
        <w:t>CIRs</w:t>
      </w:r>
      <w:proofErr w:type="spellEnd"/>
      <w:r w:rsidRPr="2C088F7A">
        <w:t xml:space="preserve"> to the average total net benefit </w:t>
      </w:r>
      <w:r w:rsidR="00362860" w:rsidRPr="2C088F7A">
        <w:t xml:space="preserve">of the portfolio of resources </w:t>
      </w:r>
      <w:r w:rsidRPr="2C088F7A">
        <w:t xml:space="preserve">procured in the RFP, the Company </w:t>
      </w:r>
      <w:r w:rsidR="00A45D72" w:rsidRPr="2C088F7A">
        <w:t>can</w:t>
      </w:r>
      <w:r w:rsidRPr="2C088F7A">
        <w:t xml:space="preserve"> ensure that any </w:t>
      </w:r>
      <w:proofErr w:type="spellStart"/>
      <w:r w:rsidRPr="2C088F7A">
        <w:t>CIRs</w:t>
      </w:r>
      <w:proofErr w:type="spellEnd"/>
      <w:r w:rsidRPr="2C088F7A">
        <w:t xml:space="preserve"> selected provide value to all customers and that no costs are being shifted to non</w:t>
      </w:r>
      <w:r w:rsidR="00B96611" w:rsidRPr="2C088F7A">
        <w:t>-</w:t>
      </w:r>
      <w:r w:rsidRPr="2C088F7A">
        <w:t xml:space="preserve">participants. </w:t>
      </w:r>
      <w:r w:rsidR="00165284" w:rsidRPr="2C088F7A">
        <w:t>T</w:t>
      </w:r>
      <w:r w:rsidRPr="2C088F7A">
        <w:t xml:space="preserve">his process </w:t>
      </w:r>
      <w:r w:rsidR="00165284" w:rsidRPr="2C088F7A">
        <w:t xml:space="preserve">also </w:t>
      </w:r>
      <w:r w:rsidRPr="2C088F7A">
        <w:t xml:space="preserve">ensures that if there is a difference between the term length of the subscribing customer agreement and the term </w:t>
      </w:r>
      <w:r w:rsidR="00165284" w:rsidRPr="2C088F7A">
        <w:t xml:space="preserve">length </w:t>
      </w:r>
      <w:r w:rsidRPr="2C088F7A">
        <w:t>of the supplying</w:t>
      </w:r>
      <w:r w:rsidR="00954C09">
        <w:t xml:space="preserve"> power purchase agreement (“PPA”)</w:t>
      </w:r>
      <w:r w:rsidRPr="2C088F7A">
        <w:t xml:space="preserve">, all customers </w:t>
      </w:r>
      <w:r w:rsidR="00165284" w:rsidRPr="2C088F7A">
        <w:t>would</w:t>
      </w:r>
      <w:r w:rsidRPr="2C088F7A">
        <w:t xml:space="preserve"> benefit from the fixed price energy </w:t>
      </w:r>
      <w:r w:rsidR="00165284" w:rsidRPr="2C088F7A">
        <w:t xml:space="preserve">even </w:t>
      </w:r>
      <w:r w:rsidRPr="2C088F7A">
        <w:t>after the subscribing customer agreement ends.</w:t>
      </w:r>
      <w:r w:rsidR="00252603">
        <w:t xml:space="preserve"> (Tr. 5063).</w:t>
      </w:r>
    </w:p>
    <w:p w14:paraId="2117776F" w14:textId="0065FDAD" w:rsidR="005949CB" w:rsidRDefault="008B02CD" w:rsidP="007F46B5">
      <w:pPr>
        <w:pStyle w:val="SSBodyText"/>
      </w:pPr>
      <w:r>
        <w:rPr>
          <w:lang w:val="x-none"/>
        </w:rPr>
        <w:t xml:space="preserve">Notably, </w:t>
      </w:r>
      <w:r w:rsidR="003968E4">
        <w:rPr>
          <w:lang w:val="x-none"/>
        </w:rPr>
        <w:t xml:space="preserve">PIA Staff and </w:t>
      </w:r>
      <w:r w:rsidR="00B7433A">
        <w:rPr>
          <w:lang w:val="x-none"/>
        </w:rPr>
        <w:t>Intervenors do not recommend</w:t>
      </w:r>
      <w:r>
        <w:rPr>
          <w:lang w:val="x-none"/>
        </w:rPr>
        <w:t xml:space="preserve"> that the Commission reject the Company’s CIR option </w:t>
      </w:r>
      <w:r w:rsidR="003968E4">
        <w:rPr>
          <w:lang w:val="x-none"/>
        </w:rPr>
        <w:t xml:space="preserve">or </w:t>
      </w:r>
      <w:r>
        <w:rPr>
          <w:lang w:val="x-none"/>
        </w:rPr>
        <w:t xml:space="preserve">other proposed RFP enhancements. To </w:t>
      </w:r>
      <w:r w:rsidR="00165284">
        <w:rPr>
          <w:lang w:val="x-none"/>
        </w:rPr>
        <w:t>preserve</w:t>
      </w:r>
      <w:r>
        <w:rPr>
          <w:lang w:val="x-none"/>
        </w:rPr>
        <w:t xml:space="preserve"> customer protections established by the Commission through its RFP process and the corresponding rules, Georgia Power does not believe that the recommendations brought forth by CEBA should be adopted. </w:t>
      </w:r>
      <w:r>
        <w:t>Thus, Georgia Power requests the Commission approve the RFP enhancements as proposed in the 2025 IRP.</w:t>
      </w:r>
    </w:p>
    <w:p w14:paraId="60007EF9" w14:textId="4CC1369F" w:rsidR="005949CB" w:rsidRPr="009E3CC5" w:rsidRDefault="00FB23A0" w:rsidP="00810075">
      <w:pPr>
        <w:pStyle w:val="Heading3"/>
      </w:pPr>
      <w:bookmarkStart w:id="15" w:name="_Toc202446766"/>
      <w:r>
        <w:lastRenderedPageBreak/>
        <w:t xml:space="preserve">The Commission should approve the Company’s proposed </w:t>
      </w:r>
      <w:r w:rsidR="007A4584">
        <w:t xml:space="preserve">Customer-Sited </w:t>
      </w:r>
      <w:r>
        <w:t xml:space="preserve">Solar </w:t>
      </w:r>
      <w:r w:rsidR="00DB5ADF">
        <w:t>Plus</w:t>
      </w:r>
      <w:r>
        <w:t xml:space="preserve"> Storage Pilot Program.</w:t>
      </w:r>
      <w:bookmarkEnd w:id="15"/>
    </w:p>
    <w:p w14:paraId="7266BFFC" w14:textId="4D710456" w:rsidR="007B27A1" w:rsidRPr="001151A8" w:rsidRDefault="007B27A1" w:rsidP="001151A8">
      <w:pPr>
        <w:pStyle w:val="SSBodyText"/>
      </w:pPr>
      <w:r w:rsidRPr="0032227B">
        <w:t xml:space="preserve">The Commission should approve the Company’s proposed </w:t>
      </w:r>
      <w:r w:rsidR="001151A8" w:rsidRPr="001151A8">
        <w:t>Customer-Sited Solar Plus Storage Pilot Program</w:t>
      </w:r>
      <w:r w:rsidR="007F64B8">
        <w:t xml:space="preserve"> (“Solar Plus Storage Pilot”)</w:t>
      </w:r>
      <w:r w:rsidR="001151A8">
        <w:t>.</w:t>
      </w:r>
      <w:r>
        <w:t xml:space="preserve"> </w:t>
      </w:r>
      <w:r w:rsidR="001151A8">
        <w:t>Consistent with the 2023 IRP Update Order</w:t>
      </w:r>
      <w:r w:rsidR="00655FB9">
        <w:t>,</w:t>
      </w:r>
      <w:r w:rsidR="001151A8">
        <w:rPr>
          <w:rStyle w:val="FootnoteReference"/>
        </w:rPr>
        <w:footnoteReference w:id="2"/>
      </w:r>
      <w:r w:rsidR="001151A8">
        <w:t xml:space="preserve"> the Company designed and developed the </w:t>
      </w:r>
      <w:r w:rsidR="007F64B8">
        <w:t>Solar Plus Storage Pilot</w:t>
      </w:r>
      <w:r w:rsidR="007F64B8" w:rsidDel="007F64B8">
        <w:t xml:space="preserve"> </w:t>
      </w:r>
      <w:r w:rsidR="001151A8">
        <w:t xml:space="preserve">based on current best practices and feedback from stakeholders. The design appropriately considers the incentives required to drive participation </w:t>
      </w:r>
      <w:r w:rsidR="001151A8" w:rsidRPr="001151A8">
        <w:t>and practical pilot limitations and provides an opportunity for the Company to learn and solicit feedback from two distinct participation pathways</w:t>
      </w:r>
      <w:r w:rsidR="001151A8">
        <w:t>. (</w:t>
      </w:r>
      <w:r w:rsidR="000554F6" w:rsidRPr="000554F6">
        <w:t>Tr. 5065</w:t>
      </w:r>
      <w:r w:rsidR="000554F6">
        <w:t>–66</w:t>
      </w:r>
      <w:r w:rsidR="00C95C85">
        <w:t>.</w:t>
      </w:r>
      <w:r w:rsidR="001151A8">
        <w:t>)</w:t>
      </w:r>
      <w:r>
        <w:t xml:space="preserve"> </w:t>
      </w:r>
      <w:r w:rsidRPr="0056774B">
        <w:t>The Company</w:t>
      </w:r>
      <w:r w:rsidRPr="00663331">
        <w:t xml:space="preserve"> has addressed </w:t>
      </w:r>
      <w:r w:rsidRPr="0056774B">
        <w:t>concerns raised by PIA Staff and Intervenors</w:t>
      </w:r>
      <w:r w:rsidRPr="00663331">
        <w:t xml:space="preserve"> by</w:t>
      </w:r>
      <w:r w:rsidRPr="0056774B">
        <w:t xml:space="preserve"> remov</w:t>
      </w:r>
      <w:r>
        <w:t>ing</w:t>
      </w:r>
      <w:r w:rsidRPr="0056774B">
        <w:t xml:space="preserve"> the restriction on grid charging in the Company Directed pathway</w:t>
      </w:r>
      <w:r>
        <w:t xml:space="preserve">, </w:t>
      </w:r>
      <w:r w:rsidRPr="00A63FC4">
        <w:t>endeavor</w:t>
      </w:r>
      <w:r>
        <w:t>ing</w:t>
      </w:r>
      <w:r w:rsidRPr="00A63FC4">
        <w:t xml:space="preserve"> to avoid calling on resources in advance of widespread extreme weather</w:t>
      </w:r>
      <w:r w:rsidR="00E12D18">
        <w:t xml:space="preserve"> events</w:t>
      </w:r>
      <w:r>
        <w:t xml:space="preserve">, </w:t>
      </w:r>
      <w:r w:rsidRPr="00A63FC4">
        <w:t>commit</w:t>
      </w:r>
      <w:r>
        <w:t>ting</w:t>
      </w:r>
      <w:r w:rsidRPr="00A63FC4">
        <w:t xml:space="preserve"> to </w:t>
      </w:r>
      <w:r w:rsidR="004B46D5">
        <w:t>making the</w:t>
      </w:r>
      <w:r w:rsidRPr="00A63FC4">
        <w:t xml:space="preserve"> Customer Directed option </w:t>
      </w:r>
      <w:r w:rsidR="004B46D5">
        <w:t xml:space="preserve">available </w:t>
      </w:r>
      <w:r w:rsidRPr="00A63FC4">
        <w:t>for 10</w:t>
      </w:r>
      <w:r w:rsidR="004B46D5">
        <w:t xml:space="preserve"> </w:t>
      </w:r>
      <w:r w:rsidRPr="00A63FC4">
        <w:t>year</w:t>
      </w:r>
      <w:r w:rsidR="004B46D5">
        <w:t>s</w:t>
      </w:r>
      <w:r>
        <w:t xml:space="preserve">, and </w:t>
      </w:r>
      <w:r w:rsidRPr="00A63FC4">
        <w:t>work</w:t>
      </w:r>
      <w:r>
        <w:t>ing</w:t>
      </w:r>
      <w:r w:rsidRPr="00A63FC4">
        <w:t xml:space="preserve"> with its program implementer, once selected, to offer a publicly accessible dashboard of enrolled MW to provide information on pilot status</w:t>
      </w:r>
      <w:r w:rsidRPr="000554F6">
        <w:t>. (</w:t>
      </w:r>
      <w:r w:rsidR="000554F6" w:rsidRPr="000554F6">
        <w:t>Tr. 5065</w:t>
      </w:r>
      <w:r w:rsidRPr="000554F6">
        <w:t>.)</w:t>
      </w:r>
    </w:p>
    <w:p w14:paraId="6AE01D62" w14:textId="2F5F0AC0" w:rsidR="007B27A1" w:rsidRDefault="00EB05DE" w:rsidP="00BD6B40">
      <w:pPr>
        <w:pStyle w:val="SSBodyText"/>
        <w:ind w:firstLine="0"/>
      </w:pPr>
      <w:r>
        <w:tab/>
      </w:r>
      <w:r w:rsidR="00583F25">
        <w:t>Intervenors offered</w:t>
      </w:r>
      <w:r w:rsidR="00E01707">
        <w:t xml:space="preserve"> additional</w:t>
      </w:r>
      <w:r w:rsidR="00583F25">
        <w:t xml:space="preserve"> pilot modifications related to incentive levels, system size requirements, and rate structure.</w:t>
      </w:r>
      <w:r w:rsidR="00E01707">
        <w:t xml:space="preserve"> The Commission should not require that Georgia Power adopt these additional adjustments as the Company’s proposed pilot structure, as modified, is a fair and reasonable design that will facilitate learnings on customer response and system benefits.</w:t>
      </w:r>
      <w:r w:rsidR="00F028C1">
        <w:t xml:space="preserve"> </w:t>
      </w:r>
      <w:r w:rsidR="00116036">
        <w:t>Additional</w:t>
      </w:r>
      <w:r w:rsidR="00E01707">
        <w:t xml:space="preserve"> modifications and adjustments are inappropriate at the current stage. Regarding rate-related recommendations, </w:t>
      </w:r>
      <w:r w:rsidR="00F028C1">
        <w:t>t</w:t>
      </w:r>
      <w:r w:rsidR="007B27A1">
        <w:t xml:space="preserve">he Company’s </w:t>
      </w:r>
      <w:r w:rsidR="0062364A">
        <w:t xml:space="preserve">proposal </w:t>
      </w:r>
      <w:r w:rsidR="007B27A1">
        <w:t xml:space="preserve">to prohibit </w:t>
      </w:r>
      <w:r w:rsidR="00B7433A">
        <w:t xml:space="preserve">participating </w:t>
      </w:r>
      <w:r w:rsidR="007B27A1">
        <w:t xml:space="preserve">customers taking service under </w:t>
      </w:r>
      <w:r w:rsidR="007B27A1" w:rsidRPr="00444E70">
        <w:t>energy-only rates</w:t>
      </w:r>
      <w:r w:rsidR="007B27A1">
        <w:t xml:space="preserve"> </w:t>
      </w:r>
      <w:r w:rsidR="00023BFF">
        <w:t xml:space="preserve">aligns with </w:t>
      </w:r>
      <w:r w:rsidR="002C0821">
        <w:t xml:space="preserve">customer interest in </w:t>
      </w:r>
      <w:r w:rsidR="006B0317">
        <w:t xml:space="preserve">responding to TOU price </w:t>
      </w:r>
      <w:r w:rsidR="00FD096D">
        <w:t>signals and</w:t>
      </w:r>
      <w:r w:rsidR="006B0317">
        <w:t xml:space="preserve"> </w:t>
      </w:r>
      <w:r w:rsidR="007B27A1">
        <w:t>prevents a cost shift to non</w:t>
      </w:r>
      <w:r w:rsidR="00B96611">
        <w:t>-</w:t>
      </w:r>
      <w:r w:rsidR="007B27A1">
        <w:t>participating customers. (</w:t>
      </w:r>
      <w:r w:rsidR="000554F6">
        <w:t>Tr. 5066</w:t>
      </w:r>
      <w:r w:rsidR="007B27A1">
        <w:t xml:space="preserve">.) By maintaining a size limit for program eligibility, the Company discourages </w:t>
      </w:r>
      <w:r w:rsidR="00D80563">
        <w:t>deployment</w:t>
      </w:r>
      <w:r w:rsidR="007B27A1">
        <w:t xml:space="preserve"> of oversized systems </w:t>
      </w:r>
      <w:r w:rsidR="00D80563">
        <w:t xml:space="preserve">and increases </w:t>
      </w:r>
      <w:r w:rsidR="00D80563">
        <w:lastRenderedPageBreak/>
        <w:t>program efficiency by avoiding</w:t>
      </w:r>
      <w:r w:rsidR="00292D7E">
        <w:t xml:space="preserve"> complex and</w:t>
      </w:r>
      <w:r w:rsidR="007B27A1">
        <w:t xml:space="preserve"> burdensome case-by-case evaluations</w:t>
      </w:r>
      <w:r w:rsidR="00292D7E">
        <w:t xml:space="preserve"> </w:t>
      </w:r>
      <w:r w:rsidR="00F97DA9">
        <w:t>required for</w:t>
      </w:r>
      <w:r w:rsidR="00292D7E">
        <w:t xml:space="preserve"> larger systems</w:t>
      </w:r>
      <w:r w:rsidR="007B27A1" w:rsidRPr="0032227B">
        <w:t>.</w:t>
      </w:r>
      <w:r w:rsidR="007B27A1">
        <w:t xml:space="preserve"> (</w:t>
      </w:r>
      <w:r w:rsidR="000554F6" w:rsidRPr="000554F6">
        <w:t>Tr. 5067</w:t>
      </w:r>
      <w:r w:rsidR="008B61F0" w:rsidRPr="000554F6">
        <w:t>–</w:t>
      </w:r>
      <w:r w:rsidR="000554F6" w:rsidRPr="000554F6">
        <w:t>68</w:t>
      </w:r>
      <w:r w:rsidR="007B27A1" w:rsidRPr="000554F6">
        <w:t>.)</w:t>
      </w:r>
      <w:r w:rsidR="007B27A1">
        <w:t xml:space="preserve"> Ultimately, w</w:t>
      </w:r>
      <w:r w:rsidR="007B27A1" w:rsidRPr="0032227B">
        <w:t>hile many had recommendations, all Intervenors who commented were supportive of the pilot offering.</w:t>
      </w:r>
      <w:r w:rsidR="007B27A1">
        <w:t xml:space="preserve"> (</w:t>
      </w:r>
      <w:r w:rsidR="000554F6">
        <w:t>Tr. 5069</w:t>
      </w:r>
      <w:r w:rsidR="007B27A1">
        <w:t>.)</w:t>
      </w:r>
    </w:p>
    <w:p w14:paraId="0E140D5F" w14:textId="51DC7471" w:rsidR="005949CB" w:rsidRDefault="007B27A1" w:rsidP="007F46B5">
      <w:pPr>
        <w:pStyle w:val="SSBodyText"/>
        <w:rPr>
          <w:lang w:eastAsia="en-US"/>
        </w:rPr>
      </w:pPr>
      <w:r>
        <w:t>T</w:t>
      </w:r>
      <w:r w:rsidRPr="00C1013E">
        <w:t xml:space="preserve">he </w:t>
      </w:r>
      <w:r w:rsidR="00B7433A">
        <w:t>proposed</w:t>
      </w:r>
      <w:r w:rsidRPr="00C1013E">
        <w:t xml:space="preserve"> Solar </w:t>
      </w:r>
      <w:r w:rsidR="008E2B94">
        <w:t>Plus</w:t>
      </w:r>
      <w:r w:rsidRPr="00C1013E">
        <w:t xml:space="preserve"> Storage Pilot fulfills a Commission directive</w:t>
      </w:r>
      <w:r>
        <w:t xml:space="preserve"> by </w:t>
      </w:r>
      <w:r w:rsidRPr="00C1013E">
        <w:t>offer</w:t>
      </w:r>
      <w:r>
        <w:t>ing</w:t>
      </w:r>
      <w:r w:rsidRPr="00C1013E">
        <w:t xml:space="preserve"> </w:t>
      </w:r>
      <w:r w:rsidR="0025315E">
        <w:t xml:space="preserve">residential and small commercial </w:t>
      </w:r>
      <w:r w:rsidRPr="00C1013E">
        <w:t>customers meaningful options to participate in and benefit from Georgia’s energy transition,</w:t>
      </w:r>
      <w:r>
        <w:t xml:space="preserve"> while </w:t>
      </w:r>
      <w:r w:rsidRPr="00C1013E">
        <w:t>enhanc</w:t>
      </w:r>
      <w:r>
        <w:t>ing</w:t>
      </w:r>
      <w:r w:rsidRPr="00C1013E">
        <w:t xml:space="preserve"> grid reliability through dispatchable capacity additions</w:t>
      </w:r>
      <w:r>
        <w:t>. A</w:t>
      </w:r>
      <w:r w:rsidRPr="005A7B06">
        <w:t xml:space="preserve">pproval of the </w:t>
      </w:r>
      <w:r>
        <w:t>p</w:t>
      </w:r>
      <w:r w:rsidRPr="00663331">
        <w:t>rogram</w:t>
      </w:r>
      <w:r w:rsidRPr="0032227B">
        <w:t xml:space="preserve"> </w:t>
      </w:r>
      <w:r w:rsidRPr="005A7B06">
        <w:t xml:space="preserve">is consistent with Commission precedent favoring carefully </w:t>
      </w:r>
      <w:r w:rsidR="00CE077E">
        <w:t>designed</w:t>
      </w:r>
      <w:r w:rsidR="00CE077E" w:rsidRPr="005A7B06">
        <w:t xml:space="preserve"> </w:t>
      </w:r>
      <w:r w:rsidRPr="005A7B06">
        <w:t>pilot programs</w:t>
      </w:r>
      <w:r>
        <w:t xml:space="preserve"> to </w:t>
      </w:r>
      <w:r w:rsidRPr="00593616">
        <w:t>allow thorough assessment of</w:t>
      </w:r>
      <w:r>
        <w:t xml:space="preserve"> the</w:t>
      </w:r>
      <w:r w:rsidRPr="00593616">
        <w:t xml:space="preserve"> impacts and benefits before broader implementation, mitigating risks and ensuring efficient use of customer funds</w:t>
      </w:r>
      <w:r w:rsidRPr="005A7B06">
        <w:t xml:space="preserve">. </w:t>
      </w:r>
      <w:r>
        <w:t>For these reasons, t</w:t>
      </w:r>
      <w:r w:rsidRPr="00663331">
        <w:t xml:space="preserve">he Commission should approve the </w:t>
      </w:r>
      <w:r w:rsidR="008E2B94">
        <w:t>Solar Plus Storage</w:t>
      </w:r>
      <w:r w:rsidRPr="00663331">
        <w:t xml:space="preserve"> Pilot as </w:t>
      </w:r>
      <w:r>
        <w:t>modified</w:t>
      </w:r>
      <w:r w:rsidRPr="00663331">
        <w:t>.</w:t>
      </w:r>
    </w:p>
    <w:p w14:paraId="30649A6E" w14:textId="58E5E4CF" w:rsidR="0080635E" w:rsidRPr="00D3599E" w:rsidRDefault="00FB23A0" w:rsidP="00810075">
      <w:pPr>
        <w:pStyle w:val="Heading3"/>
      </w:pPr>
      <w:bookmarkStart w:id="16" w:name="_Toc202446767"/>
      <w:r w:rsidRPr="00D3599E">
        <w:t>The Commission should approve the Company’s proposed modifications to the CARES Subscription Program.</w:t>
      </w:r>
      <w:bookmarkEnd w:id="16"/>
    </w:p>
    <w:p w14:paraId="497C9874" w14:textId="358CB9C6" w:rsidR="00EF70CE" w:rsidRDefault="0080635E" w:rsidP="007F46B5">
      <w:pPr>
        <w:pStyle w:val="SSBodyText"/>
      </w:pPr>
      <w:r>
        <w:t xml:space="preserve">To ensure </w:t>
      </w:r>
      <w:r w:rsidR="00C65394">
        <w:t>the</w:t>
      </w:r>
      <w:r>
        <w:t xml:space="preserve"> continued success of the </w:t>
      </w:r>
      <w:r w:rsidR="00802D04" w:rsidRPr="00802D04">
        <w:t>Clean and Renewable Energy Subscription (“CARES”)</w:t>
      </w:r>
      <w:r w:rsidR="00802D04">
        <w:t xml:space="preserve"> P</w:t>
      </w:r>
      <w:r w:rsidR="00802D04" w:rsidRPr="00802D04">
        <w:t>rogram</w:t>
      </w:r>
      <w:r>
        <w:t>, the Commission should approve Georgia Power</w:t>
      </w:r>
      <w:r w:rsidR="00165284">
        <w:t>’s</w:t>
      </w:r>
      <w:r>
        <w:t xml:space="preserve"> proposed </w:t>
      </w:r>
      <w:r w:rsidR="00EF70CE">
        <w:t>program enhancements and modifications</w:t>
      </w:r>
      <w:r>
        <w:t xml:space="preserve">. In addition to </w:t>
      </w:r>
      <w:r w:rsidR="00165284">
        <w:t>the proposed</w:t>
      </w:r>
      <w:r>
        <w:t xml:space="preserve"> CIR option discussed</w:t>
      </w:r>
      <w:r w:rsidR="00BE1DBF">
        <w:t xml:space="preserve"> above</w:t>
      </w:r>
      <w:r>
        <w:t xml:space="preserve">, the Company proposes to expand the CARES </w:t>
      </w:r>
      <w:r w:rsidR="0006194D">
        <w:t>P</w:t>
      </w:r>
      <w:r>
        <w:t>rogram to DG procurements</w:t>
      </w:r>
      <w:r w:rsidR="00BF33BC">
        <w:t xml:space="preserve"> </w:t>
      </w:r>
      <w:r>
        <w:t xml:space="preserve">and to update </w:t>
      </w:r>
      <w:r w:rsidR="00D3599E">
        <w:t xml:space="preserve">the </w:t>
      </w:r>
      <w:r>
        <w:t xml:space="preserve">hourly energy credit pricing </w:t>
      </w:r>
      <w:r w:rsidR="00CC3043">
        <w:t>methodology</w:t>
      </w:r>
      <w:r>
        <w:t xml:space="preserve"> to </w:t>
      </w:r>
      <w:r w:rsidR="00CC3043">
        <w:t xml:space="preserve">limit </w:t>
      </w:r>
      <w:r w:rsidR="00BF33BC">
        <w:t>the risk of increased costs to non-participating customers</w:t>
      </w:r>
      <w:r>
        <w:t>.</w:t>
      </w:r>
      <w:r w:rsidR="00165284">
        <w:t xml:space="preserve"> (</w:t>
      </w:r>
      <w:r w:rsidR="00F06138" w:rsidRPr="00C04A20">
        <w:t>Tr. 224</w:t>
      </w:r>
      <w:r w:rsidR="00F028C1">
        <w:t>.</w:t>
      </w:r>
      <w:r w:rsidR="00165284">
        <w:t xml:space="preserve">) </w:t>
      </w:r>
      <w:r w:rsidR="00EF70CE">
        <w:t xml:space="preserve">These proposed enhancements will offer customers additional avenues for subscribing to carbon-free resources while adding flexibility and optionality to the RFP process for </w:t>
      </w:r>
      <w:r w:rsidR="00963372">
        <w:t xml:space="preserve">bidders, </w:t>
      </w:r>
      <w:r w:rsidR="00164EE4">
        <w:t xml:space="preserve">subscribers, </w:t>
      </w:r>
      <w:r w:rsidR="00EF70CE">
        <w:t xml:space="preserve">and </w:t>
      </w:r>
      <w:r w:rsidR="00164EE4">
        <w:t xml:space="preserve">non-participants </w:t>
      </w:r>
      <w:r w:rsidR="00EF70CE">
        <w:t>alike.</w:t>
      </w:r>
    </w:p>
    <w:p w14:paraId="4E8651E7" w14:textId="0BDB9BD5" w:rsidR="0080635E" w:rsidRDefault="00165284" w:rsidP="007F46B5">
      <w:pPr>
        <w:pStyle w:val="SSBodyText"/>
        <w:rPr>
          <w:lang w:val="x-none"/>
        </w:rPr>
      </w:pPr>
      <w:r>
        <w:t>Only</w:t>
      </w:r>
      <w:r w:rsidR="0080635E">
        <w:t xml:space="preserve"> CEBA and the </w:t>
      </w:r>
      <w:proofErr w:type="spellStart"/>
      <w:r w:rsidR="004828A6">
        <w:t>GCLG</w:t>
      </w:r>
      <w:proofErr w:type="spellEnd"/>
      <w:r w:rsidR="004828A6">
        <w:t xml:space="preserve"> </w:t>
      </w:r>
      <w:r w:rsidR="0080635E">
        <w:t xml:space="preserve">oppose the Company’s proposal </w:t>
      </w:r>
      <w:r w:rsidR="0080635E">
        <w:rPr>
          <w:lang w:val="x-none"/>
        </w:rPr>
        <w:t>to update the hourly energy pricing</w:t>
      </w:r>
      <w:r w:rsidR="00164EE4">
        <w:rPr>
          <w:lang w:val="x-none"/>
        </w:rPr>
        <w:t xml:space="preserve"> credit methodology</w:t>
      </w:r>
      <w:r w:rsidR="0080635E">
        <w:rPr>
          <w:lang w:val="x-none"/>
        </w:rPr>
        <w:t>, arguing that it would shift the risk entirely to participating customer</w:t>
      </w:r>
      <w:r w:rsidR="00D3599E">
        <w:rPr>
          <w:lang w:val="x-none"/>
        </w:rPr>
        <w:t>s</w:t>
      </w:r>
      <w:r w:rsidR="0080635E">
        <w:rPr>
          <w:lang w:val="x-none"/>
        </w:rPr>
        <w:t>, thereby discouraging participation.</w:t>
      </w:r>
      <w:r w:rsidR="00EF70CE">
        <w:rPr>
          <w:lang w:val="x-none"/>
        </w:rPr>
        <w:t xml:space="preserve"> (</w:t>
      </w:r>
      <w:r w:rsidR="00050055">
        <w:rPr>
          <w:lang w:val="x-none"/>
        </w:rPr>
        <w:t xml:space="preserve">Tr. 2327, </w:t>
      </w:r>
      <w:r w:rsidR="00CE3655">
        <w:rPr>
          <w:lang w:val="x-none"/>
        </w:rPr>
        <w:t>2897</w:t>
      </w:r>
      <w:r w:rsidR="004828A6">
        <w:rPr>
          <w:lang w:val="x-none"/>
        </w:rPr>
        <w:t>.</w:t>
      </w:r>
      <w:r w:rsidR="00EF70CE">
        <w:rPr>
          <w:lang w:val="x-none"/>
        </w:rPr>
        <w:t>)</w:t>
      </w:r>
      <w:r w:rsidR="0080635E" w:rsidRPr="004609E6">
        <w:rPr>
          <w:lang w:val="x-none"/>
        </w:rPr>
        <w:t xml:space="preserve"> CEBA and the </w:t>
      </w:r>
      <w:proofErr w:type="spellStart"/>
      <w:r w:rsidR="004828A6">
        <w:rPr>
          <w:lang w:val="x-none"/>
        </w:rPr>
        <w:t>GCLG’s</w:t>
      </w:r>
      <w:proofErr w:type="spellEnd"/>
      <w:r w:rsidR="004828A6" w:rsidRPr="004609E6">
        <w:rPr>
          <w:lang w:val="x-none"/>
        </w:rPr>
        <w:t xml:space="preserve"> </w:t>
      </w:r>
      <w:r w:rsidR="0080635E" w:rsidRPr="004609E6">
        <w:rPr>
          <w:lang w:val="x-none"/>
        </w:rPr>
        <w:t>recommendation</w:t>
      </w:r>
      <w:r w:rsidR="00EB05DE">
        <w:rPr>
          <w:lang w:val="x-none"/>
        </w:rPr>
        <w:t>,</w:t>
      </w:r>
      <w:r w:rsidR="0080635E">
        <w:t xml:space="preserve"> </w:t>
      </w:r>
      <w:r w:rsidR="0080635E">
        <w:lastRenderedPageBreak/>
        <w:t>however, ignores the reality of the program, which is that non</w:t>
      </w:r>
      <w:r w:rsidR="00F65F5C">
        <w:t>-</w:t>
      </w:r>
      <w:r w:rsidR="0080635E">
        <w:t xml:space="preserve">participating customers </w:t>
      </w:r>
      <w:r w:rsidR="00D3599E">
        <w:t>currently</w:t>
      </w:r>
      <w:r w:rsidR="0080635E">
        <w:t xml:space="preserve"> bear </w:t>
      </w:r>
      <w:r w:rsidR="00164EE4">
        <w:t>the</w:t>
      </w:r>
      <w:r w:rsidR="0080635E">
        <w:t xml:space="preserve"> </w:t>
      </w:r>
      <w:r w:rsidR="00D3599E">
        <w:t xml:space="preserve">risk </w:t>
      </w:r>
      <w:r w:rsidR="0080635E">
        <w:t xml:space="preserve">that the </w:t>
      </w:r>
      <w:r w:rsidR="0080635E" w:rsidRPr="00D95E52">
        <w:rPr>
          <w:lang w:val="x-none"/>
        </w:rPr>
        <w:t>hourly energy credits could exceed the subscription price paid by CARES participants</w:t>
      </w:r>
      <w:r w:rsidR="00164EE4">
        <w:rPr>
          <w:lang w:val="x-none"/>
        </w:rPr>
        <w:t xml:space="preserve"> over the term of the subscription</w:t>
      </w:r>
      <w:r w:rsidR="0080635E">
        <w:t>.</w:t>
      </w:r>
      <w:r>
        <w:t xml:space="preserve"> </w:t>
      </w:r>
      <w:r>
        <w:rPr>
          <w:lang w:eastAsia="en-US"/>
        </w:rPr>
        <w:t xml:space="preserve">Notably, as </w:t>
      </w:r>
      <w:r w:rsidR="005C511C">
        <w:rPr>
          <w:lang w:eastAsia="en-US"/>
        </w:rPr>
        <w:t xml:space="preserve">Company </w:t>
      </w:r>
      <w:r>
        <w:rPr>
          <w:lang w:eastAsia="en-US"/>
        </w:rPr>
        <w:t xml:space="preserve">Witness Mallard testified at the </w:t>
      </w:r>
      <w:r w:rsidR="00A04CE2">
        <w:rPr>
          <w:lang w:eastAsia="en-US"/>
        </w:rPr>
        <w:t>R</w:t>
      </w:r>
      <w:r>
        <w:rPr>
          <w:lang w:eastAsia="en-US"/>
        </w:rPr>
        <w:t xml:space="preserve">ebuttal </w:t>
      </w:r>
      <w:r w:rsidR="00074A9D">
        <w:rPr>
          <w:lang w:eastAsia="en-US"/>
        </w:rPr>
        <w:t>H</w:t>
      </w:r>
      <w:r>
        <w:rPr>
          <w:lang w:eastAsia="en-US"/>
        </w:rPr>
        <w:t xml:space="preserve">earing, the Company has not </w:t>
      </w:r>
      <w:r w:rsidR="00D3599E">
        <w:rPr>
          <w:lang w:eastAsia="en-US"/>
        </w:rPr>
        <w:t xml:space="preserve">yet </w:t>
      </w:r>
      <w:r>
        <w:rPr>
          <w:lang w:eastAsia="en-US"/>
        </w:rPr>
        <w:t xml:space="preserve">proposed </w:t>
      </w:r>
      <w:r w:rsidR="00D3599E">
        <w:rPr>
          <w:lang w:eastAsia="en-US"/>
        </w:rPr>
        <w:t xml:space="preserve">the </w:t>
      </w:r>
      <w:r>
        <w:rPr>
          <w:lang w:eastAsia="en-US"/>
        </w:rPr>
        <w:t xml:space="preserve">updated hourly energy pricing credit methodology. </w:t>
      </w:r>
      <w:r w:rsidR="00B96611">
        <w:rPr>
          <w:lang w:eastAsia="en-US"/>
        </w:rPr>
        <w:t>(</w:t>
      </w:r>
      <w:r w:rsidR="00252603">
        <w:rPr>
          <w:lang w:eastAsia="en-US"/>
        </w:rPr>
        <w:t>Tr. 5092</w:t>
      </w:r>
      <w:r w:rsidR="00B96611">
        <w:rPr>
          <w:lang w:eastAsia="en-US"/>
        </w:rPr>
        <w:t xml:space="preserve">.) </w:t>
      </w:r>
      <w:r>
        <w:rPr>
          <w:lang w:eastAsia="en-US"/>
        </w:rPr>
        <w:t xml:space="preserve">And when it does, </w:t>
      </w:r>
      <w:r w:rsidR="00164EE4">
        <w:rPr>
          <w:lang w:eastAsia="en-US"/>
        </w:rPr>
        <w:t xml:space="preserve">as part of the </w:t>
      </w:r>
      <w:r w:rsidR="00924FDC">
        <w:rPr>
          <w:lang w:eastAsia="en-US"/>
        </w:rPr>
        <w:t xml:space="preserve">updated CARES </w:t>
      </w:r>
      <w:r w:rsidR="00802D04">
        <w:rPr>
          <w:lang w:eastAsia="en-US"/>
        </w:rPr>
        <w:t>P</w:t>
      </w:r>
      <w:r w:rsidR="00924FDC">
        <w:rPr>
          <w:lang w:eastAsia="en-US"/>
        </w:rPr>
        <w:t xml:space="preserve">rogram filing, </w:t>
      </w:r>
      <w:r>
        <w:rPr>
          <w:lang w:eastAsia="en-US"/>
        </w:rPr>
        <w:t xml:space="preserve">Georgia Power </w:t>
      </w:r>
      <w:r w:rsidR="00924FDC">
        <w:rPr>
          <w:lang w:eastAsia="en-US"/>
        </w:rPr>
        <w:t>has committed</w:t>
      </w:r>
      <w:r w:rsidR="00D3599E">
        <w:rPr>
          <w:lang w:eastAsia="en-US"/>
        </w:rPr>
        <w:t xml:space="preserve"> </w:t>
      </w:r>
      <w:r w:rsidR="00924FDC">
        <w:rPr>
          <w:lang w:eastAsia="en-US"/>
        </w:rPr>
        <w:t xml:space="preserve">to </w:t>
      </w:r>
      <w:r w:rsidR="00D3599E">
        <w:rPr>
          <w:lang w:eastAsia="en-US"/>
        </w:rPr>
        <w:t xml:space="preserve">engage with </w:t>
      </w:r>
      <w:r w:rsidR="00E52132">
        <w:rPr>
          <w:lang w:eastAsia="en-US"/>
        </w:rPr>
        <w:t>PIA</w:t>
      </w:r>
      <w:r w:rsidR="00AA3D46">
        <w:rPr>
          <w:lang w:eastAsia="en-US"/>
        </w:rPr>
        <w:t xml:space="preserve"> Staff, </w:t>
      </w:r>
      <w:r w:rsidR="00D3599E">
        <w:rPr>
          <w:lang w:eastAsia="en-US"/>
        </w:rPr>
        <w:t>stakeholders</w:t>
      </w:r>
      <w:r w:rsidR="00AA3D46">
        <w:rPr>
          <w:lang w:eastAsia="en-US"/>
        </w:rPr>
        <w:t>,</w:t>
      </w:r>
      <w:r w:rsidR="00D3599E">
        <w:rPr>
          <w:lang w:eastAsia="en-US"/>
        </w:rPr>
        <w:t xml:space="preserve"> and </w:t>
      </w:r>
      <w:r w:rsidR="00AA3D46">
        <w:rPr>
          <w:lang w:eastAsia="en-US"/>
        </w:rPr>
        <w:t>other</w:t>
      </w:r>
      <w:r w:rsidR="00D3599E">
        <w:rPr>
          <w:lang w:eastAsia="en-US"/>
        </w:rPr>
        <w:t xml:space="preserve"> interested parties to receive feedback and comments</w:t>
      </w:r>
      <w:r w:rsidR="00AA3D46">
        <w:rPr>
          <w:lang w:eastAsia="en-US"/>
        </w:rPr>
        <w:t xml:space="preserve"> and</w:t>
      </w:r>
      <w:r w:rsidR="00D3599E">
        <w:rPr>
          <w:lang w:eastAsia="en-US"/>
        </w:rPr>
        <w:t xml:space="preserve"> review the methodology.</w:t>
      </w:r>
      <w:r>
        <w:rPr>
          <w:lang w:eastAsia="en-US"/>
        </w:rPr>
        <w:t xml:space="preserve"> </w:t>
      </w:r>
      <w:r w:rsidR="0021516E">
        <w:rPr>
          <w:lang w:eastAsia="en-US"/>
        </w:rPr>
        <w:t>(</w:t>
      </w:r>
      <w:r w:rsidR="0021516E" w:rsidRPr="0030398D">
        <w:rPr>
          <w:i/>
          <w:iCs/>
          <w:lang w:eastAsia="en-US"/>
        </w:rPr>
        <w:t>Id.</w:t>
      </w:r>
      <w:r w:rsidR="0021516E" w:rsidRPr="0030398D">
        <w:rPr>
          <w:lang w:eastAsia="en-US"/>
        </w:rPr>
        <w:t>)</w:t>
      </w:r>
      <w:r>
        <w:rPr>
          <w:lang w:eastAsia="en-US"/>
        </w:rPr>
        <w:t xml:space="preserve"> Accordingly, a</w:t>
      </w:r>
      <w:r>
        <w:rPr>
          <w:lang w:val="x-none" w:eastAsia="en-US"/>
        </w:rPr>
        <w:t>s proposed by the Company, the</w:t>
      </w:r>
      <w:r w:rsidRPr="00C860DA">
        <w:rPr>
          <w:lang w:val="x-none" w:eastAsia="en-US"/>
        </w:rPr>
        <w:t xml:space="preserve"> CARES </w:t>
      </w:r>
      <w:r w:rsidR="0006194D">
        <w:rPr>
          <w:lang w:val="x-none" w:eastAsia="en-US"/>
        </w:rPr>
        <w:t>P</w:t>
      </w:r>
      <w:r w:rsidRPr="00C860DA">
        <w:rPr>
          <w:lang w:val="x-none" w:eastAsia="en-US"/>
        </w:rPr>
        <w:t>rogram design</w:t>
      </w:r>
      <w:r>
        <w:rPr>
          <w:lang w:val="x-none" w:eastAsia="en-US"/>
        </w:rPr>
        <w:t xml:space="preserve"> </w:t>
      </w:r>
      <w:r w:rsidR="0080635E" w:rsidRPr="00C860DA">
        <w:rPr>
          <w:lang w:val="x-none"/>
        </w:rPr>
        <w:t>strikes the right balance between providing value to subscribers and protecting non</w:t>
      </w:r>
      <w:r w:rsidR="003F5CBB">
        <w:rPr>
          <w:lang w:val="x-none"/>
        </w:rPr>
        <w:t>-</w:t>
      </w:r>
      <w:r w:rsidR="0080635E" w:rsidRPr="00C860DA">
        <w:rPr>
          <w:lang w:val="x-none"/>
        </w:rPr>
        <w:t>participating customers</w:t>
      </w:r>
      <w:r w:rsidR="0080635E">
        <w:rPr>
          <w:lang w:val="x-none"/>
        </w:rPr>
        <w:t>. The Commission should approve Georgia Power’s proposed CARES Program modifications to</w:t>
      </w:r>
      <w:r w:rsidR="0080635E" w:rsidRPr="00C860DA">
        <w:rPr>
          <w:lang w:val="x-none"/>
        </w:rPr>
        <w:t xml:space="preserve"> enable continued, measured, and steady renewable growth</w:t>
      </w:r>
      <w:r w:rsidR="0080635E">
        <w:rPr>
          <w:lang w:val="x-none"/>
        </w:rPr>
        <w:t xml:space="preserve"> and to </w:t>
      </w:r>
      <w:r w:rsidR="0080635E" w:rsidRPr="006C418E">
        <w:t>reduce financial risks to non-participating customers</w:t>
      </w:r>
      <w:r w:rsidR="0080635E">
        <w:rPr>
          <w:lang w:val="x-none"/>
        </w:rPr>
        <w:t>.</w:t>
      </w:r>
    </w:p>
    <w:p w14:paraId="55C70136" w14:textId="273741BB" w:rsidR="0080635E" w:rsidRDefault="0080635E" w:rsidP="007F46B5">
      <w:pPr>
        <w:pStyle w:val="SSBodyText"/>
        <w:rPr>
          <w:lang w:val="x-none"/>
        </w:rPr>
      </w:pPr>
      <w:r>
        <w:t xml:space="preserve">The Commission should </w:t>
      </w:r>
      <w:r w:rsidR="00EF70CE">
        <w:t xml:space="preserve">also </w:t>
      </w:r>
      <w:r w:rsidR="0016050A">
        <w:t xml:space="preserve">reject </w:t>
      </w:r>
      <w:proofErr w:type="spellStart"/>
      <w:r>
        <w:t>CEBA’s</w:t>
      </w:r>
      <w:proofErr w:type="spellEnd"/>
      <w:r>
        <w:t xml:space="preserve"> recommendation that the Company offer additional </w:t>
      </w:r>
      <w:r w:rsidR="008D1E66">
        <w:t xml:space="preserve">capacity resource </w:t>
      </w:r>
      <w:r>
        <w:t>subscriptions that provide a capacity credit</w:t>
      </w:r>
      <w:r w:rsidR="00C940F1">
        <w:t xml:space="preserve"> to individual customers</w:t>
      </w:r>
      <w:r>
        <w:t xml:space="preserve">. This recommendation runs </w:t>
      </w:r>
      <w:r w:rsidR="00C340EA">
        <w:t xml:space="preserve">counter </w:t>
      </w:r>
      <w:r>
        <w:t xml:space="preserve">to the well-established regulatory compact and Commission-approved framework that the Company operates within. </w:t>
      </w:r>
      <w:r w:rsidRPr="00EF5853">
        <w:rPr>
          <w:lang w:val="x-none"/>
        </w:rPr>
        <w:t xml:space="preserve">Georgia Power procures capacity for the benefit of </w:t>
      </w:r>
      <w:r w:rsidRPr="00EF5853">
        <w:rPr>
          <w:i/>
          <w:iCs/>
          <w:lang w:val="x-none"/>
        </w:rPr>
        <w:t>all</w:t>
      </w:r>
      <w:r w:rsidRPr="00EF5853">
        <w:rPr>
          <w:lang w:val="x-none"/>
        </w:rPr>
        <w:t xml:space="preserve"> customers</w:t>
      </w:r>
      <w:r>
        <w:rPr>
          <w:lang w:val="x-none"/>
        </w:rPr>
        <w:t>. I</w:t>
      </w:r>
      <w:r w:rsidRPr="00EF5853">
        <w:rPr>
          <w:lang w:val="x-none"/>
        </w:rPr>
        <w:t xml:space="preserve">t could be harmful to existing customers for </w:t>
      </w:r>
      <w:r>
        <w:rPr>
          <w:lang w:val="x-none"/>
        </w:rPr>
        <w:t>the Company</w:t>
      </w:r>
      <w:r w:rsidRPr="00EF5853">
        <w:rPr>
          <w:lang w:val="x-none"/>
        </w:rPr>
        <w:t xml:space="preserve"> to </w:t>
      </w:r>
      <w:r w:rsidR="009D457F">
        <w:rPr>
          <w:lang w:val="x-none"/>
        </w:rPr>
        <w:t xml:space="preserve">procure capacity resources based on individual customer </w:t>
      </w:r>
      <w:r w:rsidR="00C4547A">
        <w:rPr>
          <w:lang w:val="x-none"/>
        </w:rPr>
        <w:t xml:space="preserve">need and to </w:t>
      </w:r>
      <w:r w:rsidRPr="00EF5853">
        <w:rPr>
          <w:lang w:val="x-none"/>
        </w:rPr>
        <w:t>offer capacity subscription</w:t>
      </w:r>
      <w:r>
        <w:rPr>
          <w:lang w:val="x-none"/>
        </w:rPr>
        <w:t>s</w:t>
      </w:r>
      <w:r w:rsidRPr="00EF5853">
        <w:rPr>
          <w:lang w:val="x-none"/>
        </w:rPr>
        <w:t xml:space="preserve"> for a capacity resource to a single customer. Georgia Power is committed to accurately reflecting the value </w:t>
      </w:r>
      <w:r>
        <w:rPr>
          <w:lang w:val="x-none"/>
        </w:rPr>
        <w:t xml:space="preserve">that </w:t>
      </w:r>
      <w:r w:rsidRPr="00EF5853">
        <w:rPr>
          <w:lang w:val="x-none"/>
        </w:rPr>
        <w:t>these</w:t>
      </w:r>
      <w:r>
        <w:rPr>
          <w:lang w:val="x-none"/>
        </w:rPr>
        <w:t xml:space="preserve"> and all</w:t>
      </w:r>
      <w:r w:rsidRPr="00EF5853">
        <w:rPr>
          <w:lang w:val="x-none"/>
        </w:rPr>
        <w:t xml:space="preserve"> resources bring to the system</w:t>
      </w:r>
      <w:r w:rsidR="00EF669D">
        <w:rPr>
          <w:lang w:val="x-none"/>
        </w:rPr>
        <w:t xml:space="preserve"> in customer subscription pricing</w:t>
      </w:r>
      <w:r w:rsidRPr="00EF5853">
        <w:rPr>
          <w:lang w:val="x-none"/>
        </w:rPr>
        <w:t xml:space="preserve">, including capacity value, </w:t>
      </w:r>
      <w:r w:rsidR="00EF669D">
        <w:rPr>
          <w:lang w:val="x-none"/>
        </w:rPr>
        <w:t xml:space="preserve">and </w:t>
      </w:r>
      <w:r w:rsidRPr="00EF5853">
        <w:rPr>
          <w:lang w:val="x-none"/>
        </w:rPr>
        <w:t>offer</w:t>
      </w:r>
      <w:r>
        <w:rPr>
          <w:lang w:val="x-none"/>
        </w:rPr>
        <w:t>s</w:t>
      </w:r>
      <w:r w:rsidRPr="00EF5853">
        <w:rPr>
          <w:lang w:val="x-none"/>
        </w:rPr>
        <w:t xml:space="preserve"> subscriptions to the carbon</w:t>
      </w:r>
      <w:r w:rsidR="00CE0B55">
        <w:rPr>
          <w:lang w:val="x-none"/>
        </w:rPr>
        <w:t>-</w:t>
      </w:r>
      <w:r w:rsidRPr="00EF5853">
        <w:rPr>
          <w:lang w:val="x-none"/>
        </w:rPr>
        <w:t>free attributes</w:t>
      </w:r>
      <w:r>
        <w:rPr>
          <w:lang w:val="x-none"/>
        </w:rPr>
        <w:t xml:space="preserve"> that</w:t>
      </w:r>
      <w:r w:rsidRPr="00EF5853">
        <w:rPr>
          <w:lang w:val="x-none"/>
        </w:rPr>
        <w:t xml:space="preserve"> renewable resources deliver. Georgia Power will continue </w:t>
      </w:r>
      <w:r w:rsidR="00EF70CE">
        <w:rPr>
          <w:lang w:val="x-none"/>
        </w:rPr>
        <w:t xml:space="preserve">evaluating </w:t>
      </w:r>
      <w:r w:rsidRPr="00EF5853">
        <w:rPr>
          <w:lang w:val="x-none"/>
        </w:rPr>
        <w:t xml:space="preserve">the capacity benefits created by solar and solar and storage resources to ensure </w:t>
      </w:r>
      <w:r>
        <w:rPr>
          <w:lang w:val="x-none"/>
        </w:rPr>
        <w:t xml:space="preserve">that </w:t>
      </w:r>
      <w:r w:rsidR="00EF70CE">
        <w:rPr>
          <w:lang w:val="x-none"/>
        </w:rPr>
        <w:t>c</w:t>
      </w:r>
      <w:r>
        <w:rPr>
          <w:lang w:val="x-none"/>
        </w:rPr>
        <w:t xml:space="preserve">osts and benefits are </w:t>
      </w:r>
      <w:r w:rsidRPr="00EF5853">
        <w:rPr>
          <w:lang w:val="x-none"/>
        </w:rPr>
        <w:t>proper</w:t>
      </w:r>
      <w:r>
        <w:rPr>
          <w:lang w:val="x-none"/>
        </w:rPr>
        <w:t>ly</w:t>
      </w:r>
      <w:r w:rsidRPr="00EF5853">
        <w:rPr>
          <w:lang w:val="x-none"/>
        </w:rPr>
        <w:t xml:space="preserve"> allocat</w:t>
      </w:r>
      <w:r>
        <w:rPr>
          <w:lang w:val="x-none"/>
        </w:rPr>
        <w:t>ed</w:t>
      </w:r>
      <w:r w:rsidRPr="00EF5853">
        <w:rPr>
          <w:lang w:val="x-none"/>
        </w:rPr>
        <w:t xml:space="preserve"> to generators and subscribing customers.</w:t>
      </w:r>
    </w:p>
    <w:p w14:paraId="33AED05E" w14:textId="55F84C61" w:rsidR="00C505DF" w:rsidRDefault="00C505DF" w:rsidP="007B6348">
      <w:pPr>
        <w:pStyle w:val="Heading2"/>
      </w:pPr>
      <w:bookmarkStart w:id="17" w:name="_Toc202446768"/>
      <w:r w:rsidRPr="00215193">
        <w:lastRenderedPageBreak/>
        <w:t xml:space="preserve">The </w:t>
      </w:r>
      <w:r w:rsidR="00416C0B">
        <w:t>T</w:t>
      </w:r>
      <w:r>
        <w:t xml:space="preserve">ransmission </w:t>
      </w:r>
      <w:r w:rsidR="00416C0B">
        <w:t>P</w:t>
      </w:r>
      <w:r w:rsidR="004D7324">
        <w:t>lan</w:t>
      </w:r>
      <w:r>
        <w:t xml:space="preserve"> </w:t>
      </w:r>
      <w:r w:rsidR="008174AB">
        <w:t>I</w:t>
      </w:r>
      <w:r>
        <w:t xml:space="preserve">dentified in the 2025 IRP </w:t>
      </w:r>
      <w:r w:rsidR="008174AB">
        <w:t>S</w:t>
      </w:r>
      <w:r>
        <w:t xml:space="preserve">hould be </w:t>
      </w:r>
      <w:r w:rsidR="008174AB">
        <w:t>A</w:t>
      </w:r>
      <w:r>
        <w:t xml:space="preserve">pproved as </w:t>
      </w:r>
      <w:r w:rsidR="008174AB">
        <w:t>P</w:t>
      </w:r>
      <w:r>
        <w:t>roposed.</w:t>
      </w:r>
      <w:bookmarkEnd w:id="17"/>
    </w:p>
    <w:p w14:paraId="547C6636" w14:textId="06774F36" w:rsidR="00C505DF" w:rsidRDefault="00C505DF" w:rsidP="00C505DF">
      <w:pPr>
        <w:pStyle w:val="SSBodyText"/>
      </w:pPr>
      <w:r w:rsidRPr="00940821">
        <w:t xml:space="preserve">The Commission should approve the </w:t>
      </w:r>
      <w:r w:rsidR="005737CB">
        <w:t>T</w:t>
      </w:r>
      <w:r w:rsidRPr="00940821">
        <w:t xml:space="preserve">ransmission </w:t>
      </w:r>
      <w:r w:rsidR="005737CB">
        <w:t>P</w:t>
      </w:r>
      <w:r w:rsidR="000125FF">
        <w:t>lan</w:t>
      </w:r>
      <w:r w:rsidRPr="00940821">
        <w:t xml:space="preserve"> identified in the 2025 IRP as proposed. The Transmission Plan included in the 2025 IRP identifies the improvements necessary to maintain a strong and reliable transmission system and is developed in accordance with Southern Company and Georgia Integrated Transmission System (“</w:t>
      </w:r>
      <w:r w:rsidRPr="00755BFD">
        <w:t>ITS</w:t>
      </w:r>
      <w:r w:rsidRPr="00940821">
        <w:t xml:space="preserve">”) transmission planning guidelines </w:t>
      </w:r>
      <w:r>
        <w:t xml:space="preserve">as well as </w:t>
      </w:r>
      <w:r w:rsidRPr="00940821">
        <w:t xml:space="preserve">North American Electric Reliability </w:t>
      </w:r>
      <w:r>
        <w:t>Corporation</w:t>
      </w:r>
      <w:r w:rsidRPr="00940821">
        <w:t xml:space="preserve"> (“</w:t>
      </w:r>
      <w:r w:rsidRPr="00755BFD">
        <w:t>NERC</w:t>
      </w:r>
      <w:r w:rsidRPr="00940821">
        <w:t>”) planning standards. Importantly, the Ten-Year Plan presented in the 2025 IRP specifically: (1) incorporates load and growth changes for Georgia Power and</w:t>
      </w:r>
      <w:r>
        <w:t xml:space="preserve"> Georgia Transmission Corporation (“</w:t>
      </w:r>
      <w:proofErr w:type="spellStart"/>
      <w:r>
        <w:t>GTC</w:t>
      </w:r>
      <w:proofErr w:type="spellEnd"/>
      <w:r>
        <w:t>”), the Municipal Electric Authority of Georgia (“</w:t>
      </w:r>
      <w:proofErr w:type="spellStart"/>
      <w:r>
        <w:t>MEAG</w:t>
      </w:r>
      <w:proofErr w:type="spellEnd"/>
      <w:r>
        <w:t xml:space="preserve"> Power”), and Dalton Utilities (collectively, the “ITS Participants)</w:t>
      </w:r>
      <w:r w:rsidRPr="00940821">
        <w:t xml:space="preserve">, including updates since the 2022 IRP and 2023 IRP Update; (2) updates on strategic transmission projects since the 2022 IRP to address South to North transmission constraints; and (3) </w:t>
      </w:r>
      <w:r w:rsidR="00C71594">
        <w:t xml:space="preserve">includes </w:t>
      </w:r>
      <w:r w:rsidRPr="00940821">
        <w:t>additional considerations for evolving System needs beyond the traditional ten-year transmission planning window. (</w:t>
      </w:r>
      <w:r w:rsidR="0057744A">
        <w:t>Tr. 120–21.</w:t>
      </w:r>
      <w:r w:rsidRPr="00940821">
        <w:t>) The Company accurately and comprehensively evaluated transmission issues through the robust planning framework in Georgia. Further, Georgia Power engaged, coordinated, and planned locally, regionally, and with neighboring systems to ensure reliable, cost-effective transmission expansion that maximizes benefits for customers. (</w:t>
      </w:r>
      <w:r w:rsidR="00791DC0" w:rsidRPr="00945887">
        <w:t xml:space="preserve">Tr. 4719, </w:t>
      </w:r>
      <w:r w:rsidRPr="00945887">
        <w:t>47</w:t>
      </w:r>
      <w:r w:rsidR="0052572F" w:rsidRPr="00791DC0">
        <w:t>60</w:t>
      </w:r>
      <w:r>
        <w:t>.</w:t>
      </w:r>
      <w:r w:rsidRPr="00940821">
        <w:t>)</w:t>
      </w:r>
    </w:p>
    <w:p w14:paraId="436A0B12" w14:textId="3887BE00" w:rsidR="00C505DF" w:rsidRDefault="00C505DF" w:rsidP="00C505DF">
      <w:pPr>
        <w:pStyle w:val="SSBodyText"/>
      </w:pPr>
      <w:r>
        <w:t xml:space="preserve">The Commission should reject transmission planning-related reforms recommended by PIA Staff and Intervenors in this proceeding as Georgia Power already incorporates most of the suggested reforms that parties recommend. Further, the Company is prudently considering and developing the planning and process improvements recommended by PIA Staff and Intervenors as </w:t>
      </w:r>
      <w:r>
        <w:lastRenderedPageBreak/>
        <w:t>part of evolving transmission planning processes and consistent with the requirements of FERC Order 1920</w:t>
      </w:r>
      <w:r w:rsidR="008312F3">
        <w:t>.</w:t>
      </w:r>
      <w:r>
        <w:rPr>
          <w:rStyle w:val="FootnoteReference"/>
        </w:rPr>
        <w:footnoteReference w:id="3"/>
      </w:r>
      <w:r>
        <w:t xml:space="preserve"> </w:t>
      </w:r>
      <w:r w:rsidRPr="00162809">
        <w:t>(</w:t>
      </w:r>
      <w:r w:rsidR="003C5B74">
        <w:t>Tr. 4760</w:t>
      </w:r>
      <w:r w:rsidRPr="00162809">
        <w:t>.)</w:t>
      </w:r>
    </w:p>
    <w:p w14:paraId="56378921" w14:textId="7B34BBED" w:rsidR="00C505DF" w:rsidRDefault="00C505DF" w:rsidP="00C505DF">
      <w:pPr>
        <w:pStyle w:val="SSBodyText"/>
      </w:pPr>
      <w:r w:rsidRPr="0013415B">
        <w:t xml:space="preserve">Parties recommend that Georgia Power adjust various aspects of the transmission planning process and adopt </w:t>
      </w:r>
      <w:r>
        <w:t>specified i</w:t>
      </w:r>
      <w:r w:rsidRPr="0013415B">
        <w:t xml:space="preserve">mprovements including multi-value transmission planning methods, formal evaluation and consideration of </w:t>
      </w:r>
      <w:proofErr w:type="spellStart"/>
      <w:r>
        <w:t>GETs</w:t>
      </w:r>
      <w:proofErr w:type="spellEnd"/>
      <w:r>
        <w:t xml:space="preserve"> </w:t>
      </w:r>
      <w:r w:rsidRPr="003C7ED3">
        <w:t>and non-wires alternative solutions, and</w:t>
      </w:r>
      <w:r w:rsidRPr="0013415B">
        <w:t xml:space="preserve"> overarching reforms related to local, regional, and long-term transmission planning issues</w:t>
      </w:r>
      <w:r>
        <w:t>. (</w:t>
      </w:r>
      <w:r w:rsidR="00C12CD0">
        <w:t xml:space="preserve">Tr. </w:t>
      </w:r>
      <w:r w:rsidR="00C57560">
        <w:t>4760</w:t>
      </w:r>
      <w:r w:rsidR="0085346F">
        <w:t>–68</w:t>
      </w:r>
      <w:r>
        <w:t>.) The recommended reforms seemingly ignore the fact that Georgia Power’s current planning framework and process already incorporate many of the suggested adjustments</w:t>
      </w:r>
      <w:r w:rsidR="00DE7A19">
        <w:t>.</w:t>
      </w:r>
      <w:r w:rsidR="00F2749A">
        <w:t xml:space="preserve"> (Tr. </w:t>
      </w:r>
      <w:r w:rsidR="00DE7A19">
        <w:t>4760</w:t>
      </w:r>
      <w:r w:rsidR="00F2749A">
        <w:t>.)</w:t>
      </w:r>
      <w:r>
        <w:t xml:space="preserve"> Georgia Power </w:t>
      </w:r>
      <w:r w:rsidRPr="00162809">
        <w:t>jointly plans and operates the networked transmission system with all ITS Participants</w:t>
      </w:r>
      <w:r>
        <w:t>,</w:t>
      </w:r>
      <w:r w:rsidRPr="00162809">
        <w:t xml:space="preserve"> and this collaborative planning approach fosters natural checks and balances within transmission system planning and the development of future transmission project solutions. (</w:t>
      </w:r>
      <w:r w:rsidR="00640802">
        <w:t xml:space="preserve">Tr. </w:t>
      </w:r>
      <w:r w:rsidR="00F661F2">
        <w:t>4761</w:t>
      </w:r>
      <w:r>
        <w:t>.</w:t>
      </w:r>
      <w:r w:rsidRPr="00162809">
        <w:t>)</w:t>
      </w:r>
      <w:r>
        <w:t xml:space="preserve"> Consistent with PIA Staff and Intervenor recommendations, Georgia Power already (1) incorporates higher voltage and higher capacity solutions where effective and economical; (2) examines expanded ties to neighboring utilities and systems as part of the planning process; (3) works directly with interconnected utilities to perform joint evaluations; and (4) considers regional and transmission planning including </w:t>
      </w:r>
      <w:r w:rsidRPr="00165DB7">
        <w:t>the costs and benefits associated with potential solutions and consistent with the existing FERC regional planning requirements and processes</w:t>
      </w:r>
      <w:r>
        <w:t>. (</w:t>
      </w:r>
      <w:r w:rsidR="00F661F2">
        <w:t xml:space="preserve">Tr. </w:t>
      </w:r>
      <w:r w:rsidR="00C431D2" w:rsidRPr="007D330A">
        <w:t>47</w:t>
      </w:r>
      <w:r w:rsidR="00391331" w:rsidRPr="007D330A">
        <w:t>65</w:t>
      </w:r>
      <w:r w:rsidRPr="00EC7AC6">
        <w:t>–</w:t>
      </w:r>
      <w:r w:rsidR="008835BE" w:rsidRPr="00EC7AC6">
        <w:t>66</w:t>
      </w:r>
      <w:r w:rsidRPr="007D330A">
        <w:t>.)</w:t>
      </w:r>
      <w:r>
        <w:t xml:space="preserve"> Further, FERC Order 1920 directly includes and requires most of the planning and process improvements that parties recommend</w:t>
      </w:r>
      <w:r w:rsidR="00733D3A">
        <w:t xml:space="preserve">. </w:t>
      </w:r>
      <w:r>
        <w:t xml:space="preserve">Georgia Power will include these planned enhancements in its FERC Order 1920 comprehensive compliance and execution plan currently under development. </w:t>
      </w:r>
      <w:r w:rsidRPr="00162809">
        <w:t>(</w:t>
      </w:r>
      <w:r w:rsidR="007D330A">
        <w:t xml:space="preserve">Tr. </w:t>
      </w:r>
      <w:r w:rsidR="00562D9E">
        <w:t>4763</w:t>
      </w:r>
      <w:r w:rsidRPr="00162809">
        <w:t>.)</w:t>
      </w:r>
    </w:p>
    <w:p w14:paraId="2B949DCB" w14:textId="086B31F8" w:rsidR="00C505DF" w:rsidRDefault="00C505DF" w:rsidP="00C505DF">
      <w:pPr>
        <w:pStyle w:val="SSBodyText"/>
      </w:pPr>
      <w:r w:rsidRPr="00AD3B3F">
        <w:lastRenderedPageBreak/>
        <w:t xml:space="preserve">Regarding the Company’s investigation and deployment of </w:t>
      </w:r>
      <w:proofErr w:type="spellStart"/>
      <w:r w:rsidRPr="00AD3B3F">
        <w:t>GETs</w:t>
      </w:r>
      <w:proofErr w:type="spellEnd"/>
      <w:r w:rsidRPr="00AD3B3F">
        <w:t>, as highlighted during the Rebuttal Hearing, Georgia Power has a</w:t>
      </w:r>
      <w:r>
        <w:t xml:space="preserve"> strong</w:t>
      </w:r>
      <w:r w:rsidRPr="00AD3B3F">
        <w:t xml:space="preserve"> track record of deploying economical, innovative solutions, including </w:t>
      </w:r>
      <w:proofErr w:type="spellStart"/>
      <w:r w:rsidRPr="00AD3B3F">
        <w:t>GETs</w:t>
      </w:r>
      <w:proofErr w:type="spellEnd"/>
      <w:r w:rsidRPr="00AD3B3F">
        <w:t>, to meet the needs of its customers and the electric grid.</w:t>
      </w:r>
      <w:r>
        <w:t xml:space="preserve"> </w:t>
      </w:r>
      <w:r w:rsidRPr="00111CD7">
        <w:t>(</w:t>
      </w:r>
      <w:r w:rsidRPr="00B97257">
        <w:t>Tr.</w:t>
      </w:r>
      <w:r w:rsidR="00111CD7" w:rsidRPr="00B97257">
        <w:t> </w:t>
      </w:r>
      <w:r w:rsidR="00591073" w:rsidRPr="00B97257">
        <w:t>4767</w:t>
      </w:r>
      <w:r w:rsidRPr="00111CD7">
        <w:t>.)</w:t>
      </w:r>
      <w:r w:rsidRPr="00AD3B3F">
        <w:t xml:space="preserve"> For example, the Company has used advanced conductors for over a decade and continues </w:t>
      </w:r>
      <w:r>
        <w:t>working</w:t>
      </w:r>
      <w:r w:rsidRPr="00AD3B3F">
        <w:t xml:space="preserve"> with industry leaders such as </w:t>
      </w:r>
      <w:r>
        <w:t>the Electric Power Research Institute (“</w:t>
      </w:r>
      <w:proofErr w:type="spellStart"/>
      <w:r w:rsidRPr="00AD3B3F">
        <w:t>EPRI</w:t>
      </w:r>
      <w:proofErr w:type="spellEnd"/>
      <w:r>
        <w:t>”)</w:t>
      </w:r>
      <w:r w:rsidRPr="00AD3B3F">
        <w:t xml:space="preserve"> to test new advanced conductor products as they are proven safe and reliable.</w:t>
      </w:r>
      <w:r w:rsidRPr="0038772E">
        <w:t xml:space="preserve"> (</w:t>
      </w:r>
      <w:r w:rsidR="00F2127B">
        <w:t xml:space="preserve">Tr. </w:t>
      </w:r>
      <w:r w:rsidR="003603EB">
        <w:t>4768</w:t>
      </w:r>
      <w:r>
        <w:t>.</w:t>
      </w:r>
      <w:r w:rsidRPr="0038772E">
        <w:t>)</w:t>
      </w:r>
      <w:r>
        <w:t xml:space="preserve"> Georgia Power will continue exploring</w:t>
      </w:r>
      <w:r w:rsidRPr="0038772E">
        <w:t xml:space="preserve"> all options for meeting customer needs including innovative transmission solutions using </w:t>
      </w:r>
      <w:proofErr w:type="spellStart"/>
      <w:r w:rsidRPr="0038772E">
        <w:t>GETs</w:t>
      </w:r>
      <w:proofErr w:type="spellEnd"/>
      <w:r w:rsidRPr="0038772E">
        <w:t>, where these technologies are safe, reliable, and economical.</w:t>
      </w:r>
    </w:p>
    <w:p w14:paraId="7F76304F" w14:textId="009B4D89" w:rsidR="00C505DF" w:rsidRPr="00AD3B3F" w:rsidRDefault="00C505DF" w:rsidP="00C505DF">
      <w:pPr>
        <w:pStyle w:val="SSBodyText"/>
      </w:pPr>
      <w:r w:rsidRPr="006D18D1">
        <w:t xml:space="preserve"> </w:t>
      </w:r>
      <w:r>
        <w:t>Regarding the evaluation of battery storage as a potential transmission solution, the Company presented ample evidence demonstrating that battery storage as a transmission alternative is often impractical and uneconomic. Georgia Power Witness Robinson identified several reasons highlighting this point including that:</w:t>
      </w:r>
      <w:r w:rsidRPr="006D18D1">
        <w:t xml:space="preserve"> (1) </w:t>
      </w:r>
      <w:r w:rsidR="001A0312">
        <w:t xml:space="preserve">batteries </w:t>
      </w:r>
      <w:r w:rsidRPr="006D18D1">
        <w:t xml:space="preserve">require grid power for charging, which cause it to act like additional load and potentially exacerbate constraints that additional resources and transmission solutions are intended to resolve; (2) </w:t>
      </w:r>
      <w:r w:rsidR="001A0312">
        <w:t xml:space="preserve">batteries </w:t>
      </w:r>
      <w:r w:rsidRPr="006D18D1">
        <w:t xml:space="preserve">cannot simultaneously count as both generation capacity and a transmission solution within the Southern Company System; (3) </w:t>
      </w:r>
      <w:r w:rsidRPr="00F346EB">
        <w:t>four-hour batteries are not practical solutions to the contingencies identified in the 2025 IRP</w:t>
      </w:r>
      <w:r>
        <w:t xml:space="preserve">; </w:t>
      </w:r>
      <w:r w:rsidRPr="006D18D1">
        <w:t xml:space="preserve">and (4) </w:t>
      </w:r>
      <w:r w:rsidRPr="0026056E">
        <w:t>Georgia Power would need to evaluate a total net present value of the battery systems versus wire solutions to contemplate the total life-cycle cost of the two alternatives</w:t>
      </w:r>
      <w:r>
        <w:t>.</w:t>
      </w:r>
      <w:r w:rsidRPr="006D18D1">
        <w:t xml:space="preserve"> (</w:t>
      </w:r>
      <w:r w:rsidR="00C66BD2" w:rsidRPr="00F30FA8">
        <w:t>Tr. 4770</w:t>
      </w:r>
      <w:r w:rsidR="00844CEE" w:rsidRPr="00F30FA8">
        <w:t xml:space="preserve">, </w:t>
      </w:r>
      <w:r w:rsidR="007958FA" w:rsidRPr="00F30FA8">
        <w:t>4850</w:t>
      </w:r>
      <w:r w:rsidR="00F30FA8">
        <w:t>–52</w:t>
      </w:r>
      <w:r w:rsidRPr="006D18D1">
        <w:t>).</w:t>
      </w:r>
      <w:r w:rsidR="00733D3A">
        <w:t xml:space="preserve"> As such, PIA Staff and Intervenor proposed changes to the Transmission Plan and the Company’s transmission planning process are not needed and the Commission should approve the Transmission Plan as filed.</w:t>
      </w:r>
    </w:p>
    <w:p w14:paraId="1CFD9703" w14:textId="146773B0" w:rsidR="00923C84" w:rsidRDefault="00594D47" w:rsidP="00E97AF6">
      <w:pPr>
        <w:pStyle w:val="Heading2"/>
        <w:rPr>
          <w:bCs/>
        </w:rPr>
      </w:pPr>
      <w:bookmarkStart w:id="18" w:name="_Toc202343207"/>
      <w:bookmarkStart w:id="19" w:name="_Toc202347442"/>
      <w:bookmarkStart w:id="20" w:name="_Toc202366439"/>
      <w:bookmarkStart w:id="21" w:name="_Hlk11857024"/>
      <w:bookmarkStart w:id="22" w:name="_Toc202446769"/>
      <w:bookmarkEnd w:id="6"/>
      <w:bookmarkEnd w:id="18"/>
      <w:bookmarkEnd w:id="19"/>
      <w:bookmarkEnd w:id="20"/>
      <w:r>
        <w:lastRenderedPageBreak/>
        <w:t xml:space="preserve">The Commission Should Approve </w:t>
      </w:r>
      <w:r w:rsidR="00D24B25">
        <w:t>t</w:t>
      </w:r>
      <w:r>
        <w:t>he Company’s Proposed DSM Plan</w:t>
      </w:r>
      <w:r w:rsidR="00FA7E85">
        <w:t>.</w:t>
      </w:r>
      <w:bookmarkEnd w:id="21"/>
      <w:bookmarkEnd w:id="22"/>
    </w:p>
    <w:p w14:paraId="3116925C" w14:textId="0B0CA707" w:rsidR="00E17FC1" w:rsidRPr="00350944" w:rsidRDefault="00B00205" w:rsidP="001C1A9D">
      <w:pPr>
        <w:pStyle w:val="Heading3"/>
        <w:numPr>
          <w:ilvl w:val="0"/>
          <w:numId w:val="6"/>
        </w:numPr>
        <w:ind w:left="1440" w:hanging="720"/>
      </w:pPr>
      <w:bookmarkStart w:id="23" w:name="_Hlk11857047"/>
      <w:bookmarkStart w:id="24" w:name="_Toc202446770"/>
      <w:r w:rsidRPr="00350944">
        <w:t>The Commission should approve the Company’s Proposed Case and DSM Plan</w:t>
      </w:r>
      <w:r w:rsidR="00774707" w:rsidRPr="00350944">
        <w:t>.</w:t>
      </w:r>
      <w:bookmarkEnd w:id="24"/>
      <w:r w:rsidR="00774707" w:rsidRPr="00350944">
        <w:t xml:space="preserve"> </w:t>
      </w:r>
    </w:p>
    <w:p w14:paraId="7687FBD1" w14:textId="5ED1F33D" w:rsidR="001C6585" w:rsidRPr="0080635E" w:rsidRDefault="0080635E" w:rsidP="00A017D8">
      <w:pPr>
        <w:pStyle w:val="SSBodyText"/>
      </w:pPr>
      <w:r w:rsidRPr="0080635E">
        <w:t xml:space="preserve">Georgia Power’s Proposed Case was developed in accordance with </w:t>
      </w:r>
      <w:r w:rsidR="00274499">
        <w:t>the Commission-approved DSM Program Planning Approach, per Commission Orders, in collaboration with the DSM Working Group (“</w:t>
      </w:r>
      <w:proofErr w:type="spellStart"/>
      <w:r w:rsidR="00274499">
        <w:t>DSMWG</w:t>
      </w:r>
      <w:proofErr w:type="spellEnd"/>
      <w:r w:rsidR="00274499">
        <w:t>”) and consistent with the</w:t>
      </w:r>
      <w:r w:rsidR="00274499" w:rsidRPr="0080635E">
        <w:t xml:space="preserve"> Commission’s</w:t>
      </w:r>
      <w:r w:rsidRPr="0080635E">
        <w:t xml:space="preserve"> Order Adopting Stipulation in the Vogtle Prudency Proceeding in Docket No. 29849 (“Vogtle Prudence Order”) with a savings target of at least 0.75% of annual retail sales. </w:t>
      </w:r>
      <w:r w:rsidR="00A017D8">
        <w:t xml:space="preserve">The Commission should approve the Company’s DSM Action Plan, including: (1) approval for a certificate of public convenience and necessity </w:t>
      </w:r>
      <w:r w:rsidR="00A017D8" w:rsidRPr="00A017D8">
        <w:t>for the residential Products Program</w:t>
      </w:r>
      <w:r w:rsidR="00C340EA">
        <w:t>;</w:t>
      </w:r>
      <w:r w:rsidR="00A017D8" w:rsidRPr="00A017D8">
        <w:t xml:space="preserve"> </w:t>
      </w:r>
      <w:r w:rsidR="00A017D8">
        <w:t>(2</w:t>
      </w:r>
      <w:r w:rsidR="00A017D8" w:rsidRPr="00A017D8">
        <w:t xml:space="preserve">) decertification of </w:t>
      </w:r>
      <w:r w:rsidR="00A017D8" w:rsidRPr="0080635E">
        <w:t>the residential Refrigerator Recycling Plus and Specialty Lighting and commercial Behavioral programs</w:t>
      </w:r>
      <w:r w:rsidR="00C340EA">
        <w:t xml:space="preserve">; </w:t>
      </w:r>
      <w:r w:rsidR="00A017D8">
        <w:t xml:space="preserve">(3) waiver of </w:t>
      </w:r>
      <w:r w:rsidR="003C6BFF">
        <w:rPr>
          <w:lang w:val="x-none" w:eastAsia="en-US"/>
        </w:rPr>
        <w:t xml:space="preserve">Total Resource Cost (“TRC”) </w:t>
      </w:r>
      <w:r w:rsidR="00A017D8">
        <w:t xml:space="preserve">requirement in </w:t>
      </w:r>
      <w:r w:rsidR="00A017D8" w:rsidRPr="0080635E">
        <w:t>Commission Rule 515-3-4-.04(4)(a)3 to continue the Home Energy Improvement, Energy Assistance for Savings and Efficiency (“EASE”), HopeWorks</w:t>
      </w:r>
      <w:r w:rsidR="00912DD0">
        <w:t>,</w:t>
      </w:r>
      <w:r w:rsidR="00A017D8" w:rsidRPr="0080635E">
        <w:t xml:space="preserve"> and Custom programs</w:t>
      </w:r>
      <w:r w:rsidR="00A017D8">
        <w:t xml:space="preserve">; </w:t>
      </w:r>
      <w:r w:rsidR="00A017D8" w:rsidRPr="003867C2">
        <w:t xml:space="preserve">and </w:t>
      </w:r>
      <w:r w:rsidR="00BD6B40" w:rsidRPr="003867C2">
        <w:t xml:space="preserve">(4) </w:t>
      </w:r>
      <w:r w:rsidR="00A017D8" w:rsidRPr="003867C2">
        <w:t>updated economics for all other previously certified programs</w:t>
      </w:r>
      <w:r w:rsidR="00A017D8">
        <w:t>.</w:t>
      </w:r>
      <w:r w:rsidRPr="0080635E">
        <w:t xml:space="preserve"> Accordingly, to achieve the </w:t>
      </w:r>
      <w:r w:rsidR="00912DD0">
        <w:t>s</w:t>
      </w:r>
      <w:r w:rsidRPr="0080635E">
        <w:t xml:space="preserve">avings </w:t>
      </w:r>
      <w:r w:rsidR="00912DD0">
        <w:t>t</w:t>
      </w:r>
      <w:r w:rsidRPr="0080635E">
        <w:t>arget set forth in the Vogtle Prudency Order, the Commission should approve the Proposed Case.</w:t>
      </w:r>
    </w:p>
    <w:p w14:paraId="08A51B56" w14:textId="0E234C26" w:rsidR="001C6585" w:rsidRPr="000C68AF" w:rsidRDefault="00B00205" w:rsidP="00E97AF6">
      <w:pPr>
        <w:pStyle w:val="Heading3"/>
      </w:pPr>
      <w:bookmarkStart w:id="25" w:name="_Hlk11857058"/>
      <w:bookmarkStart w:id="26" w:name="_Hlk201225820"/>
      <w:bookmarkStart w:id="27" w:name="_Toc202446771"/>
      <w:bookmarkEnd w:id="23"/>
      <w:r w:rsidRPr="000C68AF">
        <w:t xml:space="preserve">Alternatively, the Company finds </w:t>
      </w:r>
      <w:r w:rsidR="005C511C">
        <w:t xml:space="preserve">PIA </w:t>
      </w:r>
      <w:r w:rsidRPr="000C68AF">
        <w:t>Staff’s Recommended Case to be reasonable</w:t>
      </w:r>
      <w:r w:rsidR="001C6585" w:rsidRPr="000C68AF">
        <w:t>.</w:t>
      </w:r>
      <w:bookmarkEnd w:id="27"/>
      <w:r w:rsidR="001C6585" w:rsidRPr="000C68AF">
        <w:t xml:space="preserve"> </w:t>
      </w:r>
    </w:p>
    <w:p w14:paraId="41165C6D" w14:textId="6FC225CD" w:rsidR="001C6585" w:rsidRDefault="0080635E" w:rsidP="00DC45F7">
      <w:pPr>
        <w:pStyle w:val="SSBodyText"/>
      </w:pPr>
      <w:r w:rsidRPr="0080635E">
        <w:t xml:space="preserve">The Company supports and seeks approval of the Proposed Case; however, </w:t>
      </w:r>
      <w:r w:rsidR="00144F6D">
        <w:t xml:space="preserve">if the Commission </w:t>
      </w:r>
      <w:r w:rsidR="009B0361">
        <w:t xml:space="preserve">determines that an alternative DSM plan that </w:t>
      </w:r>
      <w:r w:rsidR="00DC45F7">
        <w:t>better balances</w:t>
      </w:r>
      <w:r w:rsidR="005C511C">
        <w:t xml:space="preserve"> the</w:t>
      </w:r>
      <w:r w:rsidR="00DC45F7">
        <w:t xml:space="preserve"> savings target and overall economics</w:t>
      </w:r>
      <w:r w:rsidR="00614E9F">
        <w:t xml:space="preserve"> is necessary</w:t>
      </w:r>
      <w:r w:rsidR="00DC45F7">
        <w:t>, the Company views</w:t>
      </w:r>
      <w:r w:rsidR="005C511C">
        <w:t xml:space="preserve"> PIA</w:t>
      </w:r>
      <w:r w:rsidR="00DC45F7">
        <w:t xml:space="preserve"> Staff’s Recommended Case as the most reasonable alternative. </w:t>
      </w:r>
      <w:r w:rsidR="00C340EA">
        <w:t>C</w:t>
      </w:r>
      <w:r w:rsidRPr="0080635E">
        <w:t xml:space="preserve">onsidering the significant upward pressure on rates resulting from the Proposed Case, </w:t>
      </w:r>
      <w:r w:rsidR="00C340EA">
        <w:t xml:space="preserve">the Company </w:t>
      </w:r>
      <w:r w:rsidRPr="0080635E">
        <w:t xml:space="preserve">developed the Capacity and Affordability Case sensitivity, which </w:t>
      </w:r>
      <w:r w:rsidR="00CA4114">
        <w:t xml:space="preserve">targets </w:t>
      </w:r>
      <w:r w:rsidR="00D24B25">
        <w:t xml:space="preserve">the </w:t>
      </w:r>
      <w:r w:rsidR="00363D6D">
        <w:t xml:space="preserve">DSM </w:t>
      </w:r>
      <w:r w:rsidR="00CA4114">
        <w:t>program</w:t>
      </w:r>
      <w:r w:rsidR="00363D6D">
        <w:t>s</w:t>
      </w:r>
      <w:r w:rsidR="00CA4114">
        <w:t xml:space="preserve"> delivering the most capacity benefits and customers in the most need, </w:t>
      </w:r>
      <w:r w:rsidR="000D3A4F">
        <w:t xml:space="preserve">and </w:t>
      </w:r>
      <w:r w:rsidRPr="0080635E">
        <w:t xml:space="preserve">substantially mitigates the upward pressure on rates associated with the Proposed Case. </w:t>
      </w:r>
      <w:r w:rsidR="00E52132">
        <w:t xml:space="preserve">PIA </w:t>
      </w:r>
      <w:r w:rsidRPr="0080635E">
        <w:lastRenderedPageBreak/>
        <w:t xml:space="preserve">Staff’s Recommended Case </w:t>
      </w:r>
      <w:r w:rsidR="00DC45F7">
        <w:t>accomplishes a similar goal</w:t>
      </w:r>
      <w:r w:rsidRPr="0080635E">
        <w:t xml:space="preserve"> </w:t>
      </w:r>
      <w:r w:rsidR="004B06C4">
        <w:t xml:space="preserve">through modifications to the Company’s Capacity and Affordability Case sensitivity </w:t>
      </w:r>
      <w:r w:rsidRPr="0080635E">
        <w:t>and provides a reasonable option for the Commission’s consideration.</w:t>
      </w:r>
    </w:p>
    <w:p w14:paraId="6F0E1D43" w14:textId="4BAF28DE" w:rsidR="00DC45F7" w:rsidRPr="000C68AF" w:rsidRDefault="002C37E7" w:rsidP="00DC45F7">
      <w:pPr>
        <w:pStyle w:val="Heading3"/>
      </w:pPr>
      <w:bookmarkStart w:id="28" w:name="_Toc202446772"/>
      <w:r>
        <w:t>Georgia Power should not be required to continue the Supply</w:t>
      </w:r>
      <w:r w:rsidR="00884617">
        <w:t>-</w:t>
      </w:r>
      <w:r>
        <w:t>Side Case</w:t>
      </w:r>
      <w:r w:rsidR="00DC45F7" w:rsidRPr="000C68AF">
        <w:t>.</w:t>
      </w:r>
      <w:bookmarkEnd w:id="28"/>
    </w:p>
    <w:p w14:paraId="0B852003" w14:textId="4632C4DC" w:rsidR="00A30068" w:rsidRDefault="00AE54D4" w:rsidP="00A30068">
      <w:pPr>
        <w:pStyle w:val="SSBodyText"/>
        <w:rPr>
          <w:lang w:eastAsia="en-US"/>
        </w:rPr>
      </w:pPr>
      <w:r>
        <w:t>T</w:t>
      </w:r>
      <w:r w:rsidRPr="00AE54D4">
        <w:t>he Supply-Side Case was developed as a sensitivity case as outlined in the DSM Program Planning Approach and stipulated in the 2022 IRP Orde</w:t>
      </w:r>
      <w:r>
        <w:t>r.</w:t>
      </w:r>
      <w:r w:rsidR="00A30068">
        <w:t xml:space="preserve"> </w:t>
      </w:r>
      <w:r w:rsidR="0080635E">
        <w:t xml:space="preserve">However, as explained in the </w:t>
      </w:r>
      <w:r w:rsidR="00592AC3">
        <w:t>R</w:t>
      </w:r>
      <w:r w:rsidR="0080635E">
        <w:t xml:space="preserve">ebuttal </w:t>
      </w:r>
      <w:r w:rsidR="00592AC3">
        <w:t>T</w:t>
      </w:r>
      <w:r w:rsidR="0080635E">
        <w:t xml:space="preserve">estimony of Company </w:t>
      </w:r>
      <w:r w:rsidR="00614E9F">
        <w:t>W</w:t>
      </w:r>
      <w:r w:rsidR="0080635E">
        <w:t>itness</w:t>
      </w:r>
      <w:r w:rsidR="00614E9F">
        <w:t>es</w:t>
      </w:r>
      <w:r w:rsidR="0080635E">
        <w:t xml:space="preserve"> </w:t>
      </w:r>
      <w:proofErr w:type="spellStart"/>
      <w:r w:rsidR="0080635E">
        <w:t>Beppler</w:t>
      </w:r>
      <w:proofErr w:type="spellEnd"/>
      <w:r w:rsidR="0080635E">
        <w:t>, Goff, and Mallard, the Supply</w:t>
      </w:r>
      <w:r w:rsidR="00884617">
        <w:t>-</w:t>
      </w:r>
      <w:r w:rsidR="0080635E">
        <w:t xml:space="preserve">Side Case is burdensome and </w:t>
      </w:r>
      <w:r w:rsidR="0080635E" w:rsidRPr="00252603">
        <w:t xml:space="preserve">unnecessary. </w:t>
      </w:r>
      <w:r w:rsidR="00165284" w:rsidRPr="00252603">
        <w:t>(</w:t>
      </w:r>
      <w:r w:rsidR="00165284" w:rsidRPr="00252603">
        <w:rPr>
          <w:lang w:eastAsia="en-US"/>
        </w:rPr>
        <w:t xml:space="preserve">Tr. </w:t>
      </w:r>
      <w:r w:rsidR="00252603" w:rsidRPr="00252603">
        <w:rPr>
          <w:lang w:eastAsia="en-US"/>
        </w:rPr>
        <w:t>5052, 5096</w:t>
      </w:r>
      <w:r w:rsidR="00252603" w:rsidRPr="00252603">
        <w:t>–99.</w:t>
      </w:r>
      <w:r w:rsidR="00165284" w:rsidRPr="00252603">
        <w:rPr>
          <w:lang w:eastAsia="en-US"/>
        </w:rPr>
        <w:t>)</w:t>
      </w:r>
      <w:r w:rsidR="00A30068" w:rsidRPr="00252603">
        <w:rPr>
          <w:lang w:eastAsia="en-US"/>
        </w:rPr>
        <w:t xml:space="preserve"> It is not a</w:t>
      </w:r>
      <w:r w:rsidR="00A30068">
        <w:rPr>
          <w:lang w:eastAsia="en-US"/>
        </w:rPr>
        <w:t xml:space="preserve"> prudent </w:t>
      </w:r>
      <w:r w:rsidR="00A30068" w:rsidRPr="00A30068">
        <w:rPr>
          <w:lang w:eastAsia="en-US"/>
        </w:rPr>
        <w:t>use of Company resources to perform additional intensive modeling that provides no measurable benefit</w:t>
      </w:r>
      <w:r w:rsidR="00A30068">
        <w:rPr>
          <w:lang w:eastAsia="en-US"/>
        </w:rPr>
        <w:t>s</w:t>
      </w:r>
      <w:r w:rsidR="00A30068" w:rsidRPr="00A30068">
        <w:rPr>
          <w:lang w:eastAsia="en-US"/>
        </w:rPr>
        <w:t xml:space="preserve"> for the Company, customers, or other participating parties</w:t>
      </w:r>
      <w:r w:rsidR="009B6776">
        <w:rPr>
          <w:lang w:eastAsia="en-US"/>
        </w:rPr>
        <w:t xml:space="preserve"> since </w:t>
      </w:r>
      <w:r w:rsidR="00542EB4">
        <w:rPr>
          <w:lang w:eastAsia="en-US"/>
        </w:rPr>
        <w:t xml:space="preserve">previous iterations </w:t>
      </w:r>
      <w:r w:rsidR="008E545C">
        <w:rPr>
          <w:lang w:eastAsia="en-US"/>
        </w:rPr>
        <w:t>have not produced a robust portfolio of implementable DSM programs for customers</w:t>
      </w:r>
      <w:r w:rsidR="00A30068" w:rsidRPr="00A30068">
        <w:rPr>
          <w:lang w:eastAsia="en-US"/>
        </w:rPr>
        <w:t>. Accordingly, the Commission should not require Georgia Power to continue developing the Supply</w:t>
      </w:r>
      <w:r w:rsidR="00884617">
        <w:rPr>
          <w:lang w:eastAsia="en-US"/>
        </w:rPr>
        <w:t>-</w:t>
      </w:r>
      <w:r w:rsidR="00A30068" w:rsidRPr="00A30068">
        <w:rPr>
          <w:lang w:eastAsia="en-US"/>
        </w:rPr>
        <w:t>Side Case in future IRPs.</w:t>
      </w:r>
    </w:p>
    <w:p w14:paraId="16F28582" w14:textId="247D048F" w:rsidR="0080635E" w:rsidRDefault="0080635E" w:rsidP="00A30068">
      <w:pPr>
        <w:pStyle w:val="SSBodyText"/>
      </w:pPr>
      <w:r>
        <w:t>No party has supported nor recommended the Supply</w:t>
      </w:r>
      <w:r w:rsidR="00884617">
        <w:t>-</w:t>
      </w:r>
      <w:r>
        <w:t xml:space="preserve">Side Case before the Commission. Further, it </w:t>
      </w:r>
      <w:r w:rsidR="006B3445">
        <w:t xml:space="preserve">does not produce </w:t>
      </w:r>
      <w:r w:rsidR="00DA6D21">
        <w:t xml:space="preserve">superior results </w:t>
      </w:r>
      <w:r w:rsidR="00AB7611">
        <w:t xml:space="preserve">to </w:t>
      </w:r>
      <w:r>
        <w:t xml:space="preserve">Georgia Power’s </w:t>
      </w:r>
      <w:r w:rsidR="00B973AF">
        <w:t xml:space="preserve">existing </w:t>
      </w:r>
      <w:r>
        <w:t xml:space="preserve">DSM </w:t>
      </w:r>
      <w:r w:rsidR="00225111">
        <w:t xml:space="preserve">program </w:t>
      </w:r>
      <w:r>
        <w:t xml:space="preserve">planning process. The Company determines its recommended portfolio of DSM programs and measures through the Commission-approved DSM </w:t>
      </w:r>
      <w:r w:rsidR="00225111">
        <w:t xml:space="preserve">program </w:t>
      </w:r>
      <w:r>
        <w:t>planning process. This includes</w:t>
      </w:r>
      <w:r w:rsidRPr="00A841A8">
        <w:rPr>
          <w:lang w:val="x-none"/>
        </w:rPr>
        <w:t>: (1) utilizing standard utility cost-effectiveness screening tools; (2) incorporating input from a variety of stakeholders as well as the Company’s third-party design consultant; (3) leveraging lessons learned through program delivery, program evaluation, and historical program performance</w:t>
      </w:r>
      <w:r w:rsidR="00024096">
        <w:rPr>
          <w:lang w:val="x-none"/>
        </w:rPr>
        <w:t>;</w:t>
      </w:r>
      <w:r w:rsidRPr="00A841A8">
        <w:rPr>
          <w:lang w:val="x-none"/>
        </w:rPr>
        <w:t xml:space="preserve"> </w:t>
      </w:r>
      <w:r w:rsidRPr="000A13FE">
        <w:rPr>
          <w:lang w:val="x-none"/>
        </w:rPr>
        <w:t xml:space="preserve">and (4) collaboration with </w:t>
      </w:r>
      <w:r w:rsidR="00024096">
        <w:rPr>
          <w:lang w:val="x-none"/>
        </w:rPr>
        <w:t xml:space="preserve">PIA </w:t>
      </w:r>
      <w:r w:rsidRPr="000A13FE">
        <w:rPr>
          <w:lang w:val="x-none"/>
        </w:rPr>
        <w:t xml:space="preserve">Staff and the </w:t>
      </w:r>
      <w:proofErr w:type="spellStart"/>
      <w:r w:rsidRPr="000A13FE">
        <w:rPr>
          <w:lang w:val="x-none"/>
        </w:rPr>
        <w:t>DSM</w:t>
      </w:r>
      <w:r w:rsidR="00024096">
        <w:rPr>
          <w:lang w:val="x-none"/>
        </w:rPr>
        <w:t>WG</w:t>
      </w:r>
      <w:proofErr w:type="spellEnd"/>
      <w:r w:rsidRPr="000A13FE">
        <w:rPr>
          <w:lang w:val="x-none"/>
        </w:rPr>
        <w:t>.</w:t>
      </w:r>
    </w:p>
    <w:p w14:paraId="0778F761" w14:textId="79AA9710" w:rsidR="0080635E" w:rsidRPr="00614E9F" w:rsidRDefault="0080635E" w:rsidP="00E97AF6">
      <w:pPr>
        <w:pStyle w:val="Heading3"/>
      </w:pPr>
      <w:bookmarkStart w:id="29" w:name="_Toc202446773"/>
      <w:r w:rsidRPr="00614E9F">
        <w:rPr>
          <w:i/>
          <w:iCs/>
        </w:rPr>
        <w:lastRenderedPageBreak/>
        <w:t>DSM Budget</w:t>
      </w:r>
      <w:r w:rsidRPr="00614E9F">
        <w:t>: The Proposed Case DSM budget is required in light of the increased savings target included in the Commission’s Vogtle Prudence Order.</w:t>
      </w:r>
      <w:bookmarkEnd w:id="29"/>
      <w:r w:rsidRPr="00614E9F">
        <w:t xml:space="preserve"> </w:t>
      </w:r>
    </w:p>
    <w:p w14:paraId="46B6ED39" w14:textId="0602055F" w:rsidR="0080635E" w:rsidRDefault="00C92147" w:rsidP="007F46B5">
      <w:pPr>
        <w:pStyle w:val="SSBodyText"/>
      </w:pPr>
      <w:r>
        <w:t>T</w:t>
      </w:r>
      <w:r w:rsidR="0080635E">
        <w:t xml:space="preserve">o achieve the 0.75% savings target set forth in the Vogtle Prudence Order, Georgia Power’s Proposed </w:t>
      </w:r>
      <w:r w:rsidR="0024296A">
        <w:t xml:space="preserve">Case </w:t>
      </w:r>
      <w:r w:rsidR="0080635E">
        <w:t>includes a DSM program budget with incentive levels and components that result in an increased DSM budget from years past. While</w:t>
      </w:r>
      <w:r w:rsidR="00E52132">
        <w:t xml:space="preserve"> PIA</w:t>
      </w:r>
      <w:r w:rsidR="0080635E">
        <w:t xml:space="preserve"> Staff and other </w:t>
      </w:r>
      <w:r w:rsidR="00E52132">
        <w:t>I</w:t>
      </w:r>
      <w:r w:rsidR="0080635E">
        <w:t>ntervenors criticize th</w:t>
      </w:r>
      <w:r>
        <w:t>ese increased budgets</w:t>
      </w:r>
      <w:r w:rsidR="0024296A">
        <w:t>,</w:t>
      </w:r>
      <w:r w:rsidR="0080635E">
        <w:t xml:space="preserve"> </w:t>
      </w:r>
      <w:r>
        <w:t>Georgia Power and its</w:t>
      </w:r>
      <w:r w:rsidR="0080635E">
        <w:t xml:space="preserve"> program </w:t>
      </w:r>
      <w:r w:rsidR="00665F65">
        <w:t>design</w:t>
      </w:r>
      <w:r w:rsidR="00672F37">
        <w:t xml:space="preserve"> consultant</w:t>
      </w:r>
      <w:r w:rsidR="00665F65">
        <w:t xml:space="preserve"> </w:t>
      </w:r>
      <w:r w:rsidR="0080635E">
        <w:t xml:space="preserve">determined it was </w:t>
      </w:r>
      <w:r w:rsidR="00437CFA">
        <w:t xml:space="preserve">consistent with the Company’s technical potential study and </w:t>
      </w:r>
      <w:r w:rsidR="0080635E">
        <w:t>necessary to meet the 0.75% savings target. Therefore, should the Commission approve the Proposed Case, the Commission should approve the corresponding DSM budget that will provide the Company the necessary mechanisms and initiatives to meet the 0.75% savings target.</w:t>
      </w:r>
    </w:p>
    <w:p w14:paraId="72B78B41" w14:textId="001837D7" w:rsidR="0080635E" w:rsidRPr="00C713A2" w:rsidRDefault="0080635E" w:rsidP="007F46B5">
      <w:pPr>
        <w:pStyle w:val="SSBodyText"/>
      </w:pPr>
      <w:proofErr w:type="spellStart"/>
      <w:r>
        <w:t>GIPL</w:t>
      </w:r>
      <w:proofErr w:type="spellEnd"/>
      <w:r>
        <w:t xml:space="preserve"> Witness Sherwood</w:t>
      </w:r>
      <w:r w:rsidRPr="00C713A2">
        <w:t xml:space="preserve"> compare</w:t>
      </w:r>
      <w:r>
        <w:t>s</w:t>
      </w:r>
      <w:r w:rsidRPr="00C713A2">
        <w:t xml:space="preserve"> the Company’s historic and projected energy savings </w:t>
      </w:r>
      <w:r>
        <w:t xml:space="preserve">as well as the costs to achieve savings </w:t>
      </w:r>
      <w:r w:rsidRPr="00C713A2">
        <w:t xml:space="preserve">to </w:t>
      </w:r>
      <w:r>
        <w:t xml:space="preserve">that of </w:t>
      </w:r>
      <w:r w:rsidR="001C5C61">
        <w:t xml:space="preserve">“peer” utilities in </w:t>
      </w:r>
      <w:r w:rsidRPr="00C713A2">
        <w:t xml:space="preserve">other states. </w:t>
      </w:r>
      <w:r w:rsidRPr="00BB2828">
        <w:rPr>
          <w:bCs/>
        </w:rPr>
        <w:t>(</w:t>
      </w:r>
      <w:r w:rsidRPr="00C922BB">
        <w:rPr>
          <w:bCs/>
        </w:rPr>
        <w:t>Tr.</w:t>
      </w:r>
      <w:r w:rsidR="00084968">
        <w:rPr>
          <w:bCs/>
        </w:rPr>
        <w:t>3582</w:t>
      </w:r>
      <w:r w:rsidR="00024096" w:rsidRPr="00024096">
        <w:rPr>
          <w:bCs/>
        </w:rPr>
        <w:t>–</w:t>
      </w:r>
      <w:r w:rsidR="00084968">
        <w:rPr>
          <w:bCs/>
        </w:rPr>
        <w:t>84,</w:t>
      </w:r>
      <w:r w:rsidR="00B3699F">
        <w:rPr>
          <w:bCs/>
        </w:rPr>
        <w:t xml:space="preserve"> 3613</w:t>
      </w:r>
      <w:r w:rsidR="00024096">
        <w:rPr>
          <w:bCs/>
        </w:rPr>
        <w:t>.</w:t>
      </w:r>
      <w:r w:rsidRPr="00BB2828">
        <w:rPr>
          <w:bCs/>
        </w:rPr>
        <w:t>)</w:t>
      </w:r>
      <w:r w:rsidRPr="00BB2828">
        <w:t xml:space="preserve"> </w:t>
      </w:r>
      <w:r w:rsidRPr="00C713A2">
        <w:t xml:space="preserve">This comparison is </w:t>
      </w:r>
      <w:r>
        <w:t xml:space="preserve">not </w:t>
      </w:r>
      <w:r w:rsidRPr="00C713A2">
        <w:t>a</w:t>
      </w:r>
      <w:r>
        <w:t xml:space="preserve"> </w:t>
      </w:r>
      <w:r w:rsidRPr="00C713A2">
        <w:t xml:space="preserve">valid method for establishing the appropriate DSM </w:t>
      </w:r>
      <w:r>
        <w:t>savings targets and costs to achieve,</w:t>
      </w:r>
      <w:r w:rsidRPr="00C713A2">
        <w:t xml:space="preserve"> because it incorrectly assumes a “one size fits all” approach to DSM policies. </w:t>
      </w:r>
      <w:r w:rsidRPr="00BB2828" w:rsidDel="001C5C61">
        <w:rPr>
          <w:bCs/>
        </w:rPr>
        <w:t>(Tr.</w:t>
      </w:r>
      <w:r w:rsidDel="001C5C61">
        <w:rPr>
          <w:bCs/>
        </w:rPr>
        <w:t xml:space="preserve"> </w:t>
      </w:r>
      <w:r w:rsidR="00550ABF">
        <w:rPr>
          <w:bCs/>
        </w:rPr>
        <w:t>3616</w:t>
      </w:r>
      <w:r w:rsidR="00024096" w:rsidRPr="00024096">
        <w:rPr>
          <w:bCs/>
        </w:rPr>
        <w:t>–</w:t>
      </w:r>
      <w:r w:rsidR="00550ABF">
        <w:rPr>
          <w:bCs/>
        </w:rPr>
        <w:t>17</w:t>
      </w:r>
      <w:r w:rsidRPr="00BB2828" w:rsidDel="001C5C61">
        <w:rPr>
          <w:bCs/>
        </w:rPr>
        <w:t>.)</w:t>
      </w:r>
      <w:r w:rsidRPr="00BB2828" w:rsidDel="001C5C61">
        <w:t xml:space="preserve"> </w:t>
      </w:r>
      <w:r w:rsidRPr="00C713A2">
        <w:t xml:space="preserve">In reality, each state </w:t>
      </w:r>
      <w:r>
        <w:t>makes</w:t>
      </w:r>
      <w:r w:rsidRPr="00C713A2">
        <w:t xml:space="preserve"> its own unique determinations regarding policies that guide ratepayer-subsidized DSM implementation</w:t>
      </w:r>
      <w:r>
        <w:t xml:space="preserve">, and </w:t>
      </w:r>
      <w:r w:rsidRPr="00C713A2">
        <w:t>state-specific considerations will shape such policy development</w:t>
      </w:r>
      <w:r>
        <w:t>. These considerations include</w:t>
      </w:r>
      <w:r w:rsidRPr="00C713A2">
        <w:t xml:space="preserve"> the energy-intensity of customers in each state; cost of electricity; capacity needs; regulatory structure; and other state level initiatives such as energy efficiency goals or mandates, renewable portfolio standards (where energy efficiency can aid in compliance), and state or regional greenhouse gas control initiativ</w:t>
      </w:r>
      <w:r w:rsidRPr="00550ABF">
        <w:t xml:space="preserve">es. </w:t>
      </w:r>
      <w:r w:rsidRPr="00550ABF">
        <w:rPr>
          <w:bCs/>
        </w:rPr>
        <w:t>(</w:t>
      </w:r>
      <w:r w:rsidRPr="006E1566">
        <w:rPr>
          <w:bCs/>
          <w:i/>
          <w:iCs/>
        </w:rPr>
        <w:t>Id</w:t>
      </w:r>
      <w:r w:rsidRPr="00B14F22">
        <w:rPr>
          <w:bCs/>
          <w:i/>
          <w:iCs/>
        </w:rPr>
        <w:t>.</w:t>
      </w:r>
      <w:r w:rsidR="00550ABF">
        <w:rPr>
          <w:bCs/>
        </w:rPr>
        <w:t xml:space="preserve">; </w:t>
      </w:r>
      <w:r w:rsidR="00252603">
        <w:rPr>
          <w:bCs/>
        </w:rPr>
        <w:t>Tr. 5054</w:t>
      </w:r>
      <w:r w:rsidR="008B6611">
        <w:rPr>
          <w:bCs/>
        </w:rPr>
        <w:t>.</w:t>
      </w:r>
      <w:r w:rsidRPr="00550ABF">
        <w:rPr>
          <w:bCs/>
        </w:rPr>
        <w:t>)</w:t>
      </w:r>
      <w:r w:rsidR="00D67B54">
        <w:rPr>
          <w:bCs/>
        </w:rPr>
        <w:t xml:space="preserve"> </w:t>
      </w:r>
      <w:proofErr w:type="spellStart"/>
      <w:r w:rsidR="00733D3A">
        <w:rPr>
          <w:bCs/>
        </w:rPr>
        <w:t>GIPL</w:t>
      </w:r>
      <w:proofErr w:type="spellEnd"/>
      <w:r w:rsidR="00733D3A">
        <w:rPr>
          <w:bCs/>
        </w:rPr>
        <w:t xml:space="preserve"> Witness Sherwood’s </w:t>
      </w:r>
      <w:r w:rsidR="00D67B54">
        <w:rPr>
          <w:bCs/>
        </w:rPr>
        <w:t xml:space="preserve">comparison is also flawed because it assumes that </w:t>
      </w:r>
      <w:r w:rsidR="00266921">
        <w:rPr>
          <w:bCs/>
        </w:rPr>
        <w:t>Georgia Power can achieve future savings at the same cost as what it took to achieve past savings</w:t>
      </w:r>
      <w:r w:rsidR="00C915D1">
        <w:rPr>
          <w:bCs/>
        </w:rPr>
        <w:t>. T</w:t>
      </w:r>
      <w:r w:rsidR="00F43860">
        <w:rPr>
          <w:bCs/>
        </w:rPr>
        <w:t xml:space="preserve">his </w:t>
      </w:r>
      <w:r w:rsidR="00EF6063">
        <w:rPr>
          <w:bCs/>
        </w:rPr>
        <w:t xml:space="preserve">assumption </w:t>
      </w:r>
      <w:r w:rsidR="00266921">
        <w:rPr>
          <w:bCs/>
        </w:rPr>
        <w:t xml:space="preserve">is </w:t>
      </w:r>
      <w:r w:rsidR="00C502FD">
        <w:rPr>
          <w:bCs/>
        </w:rPr>
        <w:t>not con</w:t>
      </w:r>
      <w:r w:rsidR="00472896">
        <w:rPr>
          <w:bCs/>
        </w:rPr>
        <w:t xml:space="preserve">sistent with the Company’s </w:t>
      </w:r>
      <w:r w:rsidR="000E1B53">
        <w:rPr>
          <w:bCs/>
        </w:rPr>
        <w:t>technical potential study</w:t>
      </w:r>
      <w:r w:rsidR="00F454BC">
        <w:rPr>
          <w:bCs/>
        </w:rPr>
        <w:t xml:space="preserve"> and does not take into consideration the impact of inflation </w:t>
      </w:r>
      <w:r w:rsidR="003B4263">
        <w:rPr>
          <w:bCs/>
        </w:rPr>
        <w:t>and</w:t>
      </w:r>
      <w:r w:rsidR="00F454BC">
        <w:rPr>
          <w:bCs/>
        </w:rPr>
        <w:t xml:space="preserve"> other factors</w:t>
      </w:r>
      <w:r w:rsidR="00472896">
        <w:rPr>
          <w:bCs/>
        </w:rPr>
        <w:t>.</w:t>
      </w:r>
    </w:p>
    <w:p w14:paraId="06663DDE" w14:textId="77777777" w:rsidR="0080635E" w:rsidRPr="008532BE" w:rsidRDefault="0080635E" w:rsidP="006E1566">
      <w:pPr>
        <w:pStyle w:val="Heading3"/>
      </w:pPr>
      <w:bookmarkStart w:id="30" w:name="_Toc202446774"/>
      <w:r w:rsidRPr="008532BE">
        <w:rPr>
          <w:i/>
          <w:iCs/>
        </w:rPr>
        <w:lastRenderedPageBreak/>
        <w:t>On-Bill Financing</w:t>
      </w:r>
      <w:r w:rsidRPr="008532BE">
        <w:t>: It is not prudent to offer on-bill financing due to the lack of success of the Residential Investment Saving Energy (“RISE”) Pilot and the ultimate expense to customers.</w:t>
      </w:r>
      <w:bookmarkEnd w:id="30"/>
    </w:p>
    <w:p w14:paraId="1B602DDD" w14:textId="77295847" w:rsidR="0080635E" w:rsidRPr="006C418E" w:rsidRDefault="00C92147" w:rsidP="007F46B5">
      <w:pPr>
        <w:pStyle w:val="SSBodyText"/>
      </w:pPr>
      <w:r>
        <w:t xml:space="preserve">The Commission should not require that </w:t>
      </w:r>
      <w:r w:rsidR="0080635E">
        <w:t xml:space="preserve">Georgia Power implement an on-bill financing program </w:t>
      </w:r>
      <w:r w:rsidR="00A838F1">
        <w:t>given</w:t>
      </w:r>
      <w:r w:rsidR="0080635E">
        <w:t xml:space="preserve"> the lack of success of the RISE Pilot and the expense to non-participating customers.</w:t>
      </w:r>
      <w:r>
        <w:t xml:space="preserve"> (</w:t>
      </w:r>
      <w:r w:rsidR="00252603">
        <w:t>Tr. 5055</w:t>
      </w:r>
      <w:r w:rsidR="00190191">
        <w:t>.</w:t>
      </w:r>
      <w:r>
        <w:t>)</w:t>
      </w:r>
      <w:r w:rsidR="0080635E">
        <w:t xml:space="preserve"> Several Intervenors recommend the Company offer on-bill financing for certain income qualified customers. </w:t>
      </w:r>
      <w:r>
        <w:t>(</w:t>
      </w:r>
      <w:r w:rsidR="00190191">
        <w:t>Tr. 2907</w:t>
      </w:r>
      <w:r w:rsidR="008F0884" w:rsidRPr="00024096">
        <w:rPr>
          <w:bCs/>
        </w:rPr>
        <w:t>–</w:t>
      </w:r>
      <w:r w:rsidR="00190191">
        <w:t>08</w:t>
      </w:r>
      <w:r w:rsidR="008B6611">
        <w:t>,</w:t>
      </w:r>
      <w:r w:rsidR="008762D8">
        <w:t xml:space="preserve"> 3535</w:t>
      </w:r>
      <w:r w:rsidR="008F0884" w:rsidRPr="00024096">
        <w:rPr>
          <w:bCs/>
        </w:rPr>
        <w:t>–</w:t>
      </w:r>
      <w:r w:rsidR="008762D8">
        <w:t>36</w:t>
      </w:r>
      <w:r w:rsidR="00190191">
        <w:t>.</w:t>
      </w:r>
      <w:r>
        <w:t xml:space="preserve">) </w:t>
      </w:r>
      <w:r w:rsidR="0080635E">
        <w:t xml:space="preserve">Although not identical, the Company previously offered the RISE Pilot, which had similar features and targeted income qualified customers </w:t>
      </w:r>
      <w:r w:rsidR="00EE5E61">
        <w:t xml:space="preserve">where there was a </w:t>
      </w:r>
      <w:r w:rsidR="00790FCA">
        <w:t>guarantee of monthly savings</w:t>
      </w:r>
      <w:r w:rsidR="00EB6D54">
        <w:t xml:space="preserve"> for the </w:t>
      </w:r>
      <w:r w:rsidR="0094166B">
        <w:t>participating</w:t>
      </w:r>
      <w:r w:rsidR="00EB6D54">
        <w:t xml:space="preserve"> customer; </w:t>
      </w:r>
      <w:r w:rsidR="00DF042F">
        <w:t>notably, the</w:t>
      </w:r>
      <w:r w:rsidR="00EB6D54">
        <w:t xml:space="preserve"> pilot</w:t>
      </w:r>
      <w:r w:rsidR="0080635E">
        <w:t xml:space="preserve"> was </w:t>
      </w:r>
      <w:r w:rsidR="00DF042F">
        <w:t>deemed</w:t>
      </w:r>
      <w:r w:rsidR="005C6768">
        <w:t xml:space="preserve"> </w:t>
      </w:r>
      <w:r w:rsidR="0080635E">
        <w:t xml:space="preserve">unsuccessful. In the RISE Pilot, Georgia Power covered the upfront cost of energy efficiency and DSM improvements, recovering those costs over time through a charge applied under a customer-specific RISE Tariff. </w:t>
      </w:r>
      <w:r w:rsidR="00F16CAB">
        <w:t xml:space="preserve">Under the RISE </w:t>
      </w:r>
      <w:r w:rsidR="00BA444A">
        <w:t>framework</w:t>
      </w:r>
      <w:r w:rsidR="00F16CAB">
        <w:t xml:space="preserve">, the </w:t>
      </w:r>
      <w:r w:rsidR="00F055D0">
        <w:t xml:space="preserve">savings </w:t>
      </w:r>
      <w:r w:rsidR="00E47F5B">
        <w:t>a customer realized</w:t>
      </w:r>
      <w:r w:rsidR="00465E0E">
        <w:t xml:space="preserve"> each month</w:t>
      </w:r>
      <w:r w:rsidR="00E47F5B">
        <w:t xml:space="preserve"> </w:t>
      </w:r>
      <w:r w:rsidR="00A5367A">
        <w:t xml:space="preserve">from energy efficiency improvements </w:t>
      </w:r>
      <w:r w:rsidR="00E47F5B">
        <w:t>more</w:t>
      </w:r>
      <w:r w:rsidR="007D3CCF">
        <w:t xml:space="preserve"> </w:t>
      </w:r>
      <w:r w:rsidR="00BA444A">
        <w:t xml:space="preserve">than offset the </w:t>
      </w:r>
      <w:r w:rsidR="00E63F09">
        <w:t xml:space="preserve">additional </w:t>
      </w:r>
      <w:r w:rsidR="00BA444A">
        <w:t>charge</w:t>
      </w:r>
      <w:r w:rsidR="002E12BC">
        <w:t xml:space="preserve"> on their bill</w:t>
      </w:r>
      <w:r w:rsidR="00860D17">
        <w:t xml:space="preserve"> from the RISE Tariff</w:t>
      </w:r>
      <w:r w:rsidR="00BA444A">
        <w:t xml:space="preserve">. </w:t>
      </w:r>
      <w:r w:rsidR="0080635E">
        <w:t xml:space="preserve">However, the Company found that covering the upfront costs </w:t>
      </w:r>
      <w:r w:rsidR="0080635E" w:rsidRPr="01680701">
        <w:t>for customers who later paid a charge over time did not increase customer adoption of or participation in energy efficiency measures. The Company also found it difficult to find qualifying customers</w:t>
      </w:r>
      <w:r w:rsidR="00DF042F">
        <w:t>. Despite extending the</w:t>
      </w:r>
      <w:r w:rsidR="0080635E" w:rsidRPr="01680701">
        <w:t xml:space="preserve"> RISE Pilot from 3 to 6 years</w:t>
      </w:r>
      <w:r w:rsidR="00DF042F">
        <w:t>, it</w:t>
      </w:r>
      <w:r w:rsidR="0080635E" w:rsidRPr="01680701">
        <w:t xml:space="preserve"> enrolled only 18 participants. Although on</w:t>
      </w:r>
      <w:r w:rsidR="00CD3607" w:rsidRPr="01680701">
        <w:t>-</w:t>
      </w:r>
      <w:r w:rsidR="0080635E" w:rsidRPr="01680701">
        <w:t>bill financing utilizes third-party financing, there is no evidence that a third-party financing arrangement would be more successful than the RISE Pilot’s tariff-based approach, which offered customers the same benefit of participating without an upfront investment.</w:t>
      </w:r>
      <w:r w:rsidRPr="01680701">
        <w:t xml:space="preserve"> </w:t>
      </w:r>
      <w:r w:rsidR="003D6EA7">
        <w:t>Further</w:t>
      </w:r>
      <w:r w:rsidR="00657F07" w:rsidRPr="01680701">
        <w:t xml:space="preserve">, with on-bill financing, there is no guarantee that a customer will realize </w:t>
      </w:r>
      <w:r w:rsidR="00DC4401" w:rsidRPr="01680701">
        <w:t xml:space="preserve">savings each month that </w:t>
      </w:r>
      <w:r w:rsidR="00452AAB">
        <w:t>eclipse</w:t>
      </w:r>
      <w:r w:rsidR="00DC4401" w:rsidRPr="01680701">
        <w:t xml:space="preserve"> the</w:t>
      </w:r>
      <w:r w:rsidR="004D6C3A" w:rsidRPr="01680701">
        <w:t xml:space="preserve"> cost of their financing arrangement</w:t>
      </w:r>
      <w:r w:rsidR="001A737A" w:rsidRPr="01680701">
        <w:t xml:space="preserve">. </w:t>
      </w:r>
      <w:r w:rsidR="008D2164">
        <w:t>Moreover</w:t>
      </w:r>
      <w:r w:rsidR="001A737A" w:rsidRPr="01680701">
        <w:t xml:space="preserve">, </w:t>
      </w:r>
      <w:r w:rsidR="00A62918" w:rsidRPr="01680701">
        <w:t xml:space="preserve">with any financing </w:t>
      </w:r>
      <w:r w:rsidR="001A1C7D" w:rsidRPr="01680701">
        <w:t>arrangement</w:t>
      </w:r>
      <w:r w:rsidR="00A62918" w:rsidRPr="01680701">
        <w:t xml:space="preserve">, a customer </w:t>
      </w:r>
      <w:r w:rsidR="00E651A0" w:rsidRPr="01680701">
        <w:t xml:space="preserve">will </w:t>
      </w:r>
      <w:r w:rsidR="008D2164">
        <w:t>pay</w:t>
      </w:r>
      <w:r w:rsidR="00E651A0" w:rsidRPr="01680701">
        <w:t xml:space="preserve"> more in the long term </w:t>
      </w:r>
      <w:r w:rsidR="008D2164">
        <w:t>than</w:t>
      </w:r>
      <w:r w:rsidR="001A1C7D" w:rsidRPr="01680701">
        <w:t xml:space="preserve"> the cost of the energy efficiency measure</w:t>
      </w:r>
      <w:r w:rsidR="00CE5767" w:rsidRPr="01680701">
        <w:t xml:space="preserve"> and may </w:t>
      </w:r>
      <w:r w:rsidR="00CE5767" w:rsidRPr="01680701">
        <w:lastRenderedPageBreak/>
        <w:t xml:space="preserve">continue to make these payments beyond the </w:t>
      </w:r>
      <w:r w:rsidR="00DB2C59" w:rsidRPr="01680701">
        <w:t xml:space="preserve">measure’s </w:t>
      </w:r>
      <w:r w:rsidR="00B0027C" w:rsidRPr="01680701">
        <w:t xml:space="preserve">useful </w:t>
      </w:r>
      <w:r w:rsidR="00DB2C59" w:rsidRPr="01680701">
        <w:t>lifetime</w:t>
      </w:r>
      <w:r w:rsidR="004D6C3A" w:rsidRPr="01680701">
        <w:t xml:space="preserve">. </w:t>
      </w:r>
      <w:r w:rsidRPr="01680701">
        <w:t xml:space="preserve">For all these reasons, the Commission should not require that Georgia Power </w:t>
      </w:r>
      <w:r w:rsidR="0080635E" w:rsidRPr="01680701">
        <w:t>implement on-bill financing.</w:t>
      </w:r>
    </w:p>
    <w:p w14:paraId="53CC4450" w14:textId="77777777" w:rsidR="0080635E" w:rsidRPr="00550ABF" w:rsidRDefault="0080635E" w:rsidP="00E97AF6">
      <w:pPr>
        <w:pStyle w:val="Heading3"/>
      </w:pPr>
      <w:bookmarkStart w:id="31" w:name="_Toc202446775"/>
      <w:r w:rsidRPr="00550ABF">
        <w:rPr>
          <w:i/>
          <w:iCs/>
        </w:rPr>
        <w:t>DSM Costs and Additional Sum</w:t>
      </w:r>
      <w:r w:rsidRPr="00550ABF">
        <w:t>: The Commission should approve the costs for all approved and certified DSM programs, pilots, and other activities. The Commission should approve an additional sum of $0.04 for every kWh saved.</w:t>
      </w:r>
      <w:bookmarkEnd w:id="31"/>
    </w:p>
    <w:p w14:paraId="5E658069" w14:textId="003FAE61" w:rsidR="0080635E" w:rsidRDefault="0080635E" w:rsidP="007F46B5">
      <w:pPr>
        <w:pStyle w:val="SSBodyText"/>
        <w:rPr>
          <w:lang w:val="x-none"/>
        </w:rPr>
      </w:pPr>
      <w:r>
        <w:t xml:space="preserve">The Commission should approve the Company’s reasonable request for an additional sum </w:t>
      </w:r>
      <w:r w:rsidRPr="002A572C">
        <w:rPr>
          <w:lang w:val="x-none"/>
        </w:rPr>
        <w:t>of $0.04 for every</w:t>
      </w:r>
      <w:r w:rsidR="00954C09">
        <w:rPr>
          <w:lang w:val="x-none"/>
        </w:rPr>
        <w:t xml:space="preserve"> kilowatt hour (“</w:t>
      </w:r>
      <w:r w:rsidRPr="002A572C">
        <w:rPr>
          <w:lang w:val="x-none"/>
        </w:rPr>
        <w:t>kWh</w:t>
      </w:r>
      <w:r w:rsidR="00954C09">
        <w:rPr>
          <w:lang w:val="x-none"/>
        </w:rPr>
        <w:t>”)</w:t>
      </w:r>
      <w:r w:rsidRPr="002A572C">
        <w:rPr>
          <w:lang w:val="x-none"/>
        </w:rPr>
        <w:t xml:space="preserve"> saved, using the verified, net energy</w:t>
      </w:r>
      <w:r>
        <w:rPr>
          <w:lang w:val="x-none"/>
        </w:rPr>
        <w:t xml:space="preserve"> savings along with the </w:t>
      </w:r>
      <w:r>
        <w:t>amended additional sum calculation. The proposed $0.04</w:t>
      </w:r>
      <w:r w:rsidR="0067379D">
        <w:t xml:space="preserve"> per kWh</w:t>
      </w:r>
      <w:r>
        <w:t xml:space="preserve"> additional sum</w:t>
      </w:r>
      <w:r>
        <w:rPr>
          <w:lang w:val="x-none"/>
        </w:rPr>
        <w:t xml:space="preserve"> is</w:t>
      </w:r>
      <w:r w:rsidRPr="00AF7D27">
        <w:rPr>
          <w:lang w:val="x-none"/>
        </w:rPr>
        <w:t xml:space="preserve"> in line with the average amount per kWh earned </w:t>
      </w:r>
      <w:r w:rsidR="00733D3A">
        <w:rPr>
          <w:lang w:val="x-none"/>
        </w:rPr>
        <w:t xml:space="preserve">by the Company </w:t>
      </w:r>
      <w:r>
        <w:rPr>
          <w:lang w:val="x-none"/>
        </w:rPr>
        <w:t xml:space="preserve">from </w:t>
      </w:r>
      <w:r w:rsidRPr="00AF7D27">
        <w:rPr>
          <w:lang w:val="x-none"/>
        </w:rPr>
        <w:t>2012 through the previously approved annual DSM true-up</w:t>
      </w:r>
      <w:r>
        <w:rPr>
          <w:lang w:val="x-none"/>
        </w:rPr>
        <w:t xml:space="preserve"> process. </w:t>
      </w:r>
      <w:r w:rsidR="007327B8">
        <w:rPr>
          <w:lang w:val="x-none" w:eastAsia="en-US"/>
        </w:rPr>
        <w:t xml:space="preserve">By using an average amount, the proposed methodology accounts for years in which the Company is able to achieve cost efficiencies in implementing its DSM programs. </w:t>
      </w:r>
      <w:r>
        <w:rPr>
          <w:lang w:val="x-none"/>
        </w:rPr>
        <w:t xml:space="preserve">As it stands currently, the Company receives little to no additional sum from residential DSM programs that result in energy savings. Under the proposed amended additional sum calculation, </w:t>
      </w:r>
      <w:r w:rsidRPr="00FC39B3">
        <w:rPr>
          <w:lang w:val="x-none"/>
        </w:rPr>
        <w:t xml:space="preserve">all energy savings </w:t>
      </w:r>
      <w:r>
        <w:rPr>
          <w:lang w:val="x-none"/>
        </w:rPr>
        <w:t xml:space="preserve">will be valued </w:t>
      </w:r>
      <w:r w:rsidRPr="00FC39B3">
        <w:rPr>
          <w:lang w:val="x-none"/>
        </w:rPr>
        <w:t xml:space="preserve">the same. This </w:t>
      </w:r>
      <w:r>
        <w:rPr>
          <w:lang w:val="x-none"/>
        </w:rPr>
        <w:t>methodology</w:t>
      </w:r>
      <w:r w:rsidRPr="00FC39B3">
        <w:rPr>
          <w:lang w:val="x-none"/>
        </w:rPr>
        <w:t xml:space="preserve"> also provides more stability in the metric used to determine additional sum and certainty </w:t>
      </w:r>
      <w:r w:rsidR="006D6949">
        <w:rPr>
          <w:lang w:val="x-none"/>
        </w:rPr>
        <w:t>with respect to</w:t>
      </w:r>
      <w:r w:rsidR="006D6949" w:rsidRPr="00FC39B3">
        <w:rPr>
          <w:lang w:val="x-none"/>
        </w:rPr>
        <w:t xml:space="preserve"> </w:t>
      </w:r>
      <w:r w:rsidRPr="00FC39B3">
        <w:rPr>
          <w:lang w:val="x-none"/>
        </w:rPr>
        <w:t>the incentive the Company will receive for implementing</w:t>
      </w:r>
      <w:r>
        <w:rPr>
          <w:lang w:val="x-none"/>
        </w:rPr>
        <w:t xml:space="preserve"> its approved</w:t>
      </w:r>
      <w:r w:rsidRPr="00FC39B3">
        <w:rPr>
          <w:lang w:val="x-none"/>
        </w:rPr>
        <w:t xml:space="preserve"> DSM programs, as allowed by state law, while reducing resources needed by the Company and</w:t>
      </w:r>
      <w:r w:rsidR="00255697">
        <w:rPr>
          <w:lang w:val="x-none"/>
        </w:rPr>
        <w:t xml:space="preserve"> PIA</w:t>
      </w:r>
      <w:r w:rsidRPr="00FC39B3">
        <w:rPr>
          <w:lang w:val="x-none"/>
        </w:rPr>
        <w:t xml:space="preserve"> </w:t>
      </w:r>
      <w:r>
        <w:rPr>
          <w:lang w:val="x-none"/>
        </w:rPr>
        <w:t>Staff to review and verify the savings and data.</w:t>
      </w:r>
    </w:p>
    <w:p w14:paraId="52766011" w14:textId="664445A2" w:rsidR="007327B8" w:rsidRDefault="007327B8" w:rsidP="007F46B5">
      <w:pPr>
        <w:pStyle w:val="SSBodyText"/>
        <w:rPr>
          <w:lang w:val="x-none"/>
        </w:rPr>
      </w:pPr>
      <w:r>
        <w:rPr>
          <w:lang w:val="x-none" w:eastAsia="en-US"/>
        </w:rPr>
        <w:t xml:space="preserve">As explained by Witness Goff during the Company’s </w:t>
      </w:r>
      <w:r w:rsidR="00BB0E8A">
        <w:rPr>
          <w:lang w:val="x-none" w:eastAsia="en-US"/>
        </w:rPr>
        <w:t>R</w:t>
      </w:r>
      <w:r>
        <w:rPr>
          <w:lang w:val="x-none" w:eastAsia="en-US"/>
        </w:rPr>
        <w:t xml:space="preserve">ebuttal </w:t>
      </w:r>
      <w:r w:rsidR="00074A9D">
        <w:rPr>
          <w:lang w:val="x-none" w:eastAsia="en-US"/>
        </w:rPr>
        <w:t>H</w:t>
      </w:r>
      <w:r>
        <w:rPr>
          <w:lang w:val="x-none" w:eastAsia="en-US"/>
        </w:rPr>
        <w:t>earing an</w:t>
      </w:r>
      <w:r w:rsidR="00255697">
        <w:rPr>
          <w:lang w:val="x-none" w:eastAsia="en-US"/>
        </w:rPr>
        <w:t>d</w:t>
      </w:r>
      <w:r>
        <w:rPr>
          <w:lang w:val="x-none" w:eastAsia="en-US"/>
        </w:rPr>
        <w:t xml:space="preserve"> in response to </w:t>
      </w:r>
      <w:r w:rsidR="00733D3A">
        <w:rPr>
          <w:lang w:val="x-none" w:eastAsia="en-US"/>
        </w:rPr>
        <w:t xml:space="preserve">data request </w:t>
      </w:r>
      <w:r>
        <w:rPr>
          <w:lang w:val="x-none" w:eastAsia="en-US"/>
        </w:rPr>
        <w:t xml:space="preserve">STF-PIA-12-19, the proposed additional sum of $0.04 </w:t>
      </w:r>
      <w:r w:rsidR="007B6038">
        <w:rPr>
          <w:lang w:val="x-none" w:eastAsia="en-US"/>
        </w:rPr>
        <w:t xml:space="preserve">per kWh </w:t>
      </w:r>
      <w:r>
        <w:rPr>
          <w:lang w:val="x-none" w:eastAsia="en-US"/>
        </w:rPr>
        <w:t>and updated methodology provides for the equitable sharing between Georgia Power and customers as measured by the</w:t>
      </w:r>
      <w:r w:rsidR="003C6BFF">
        <w:rPr>
          <w:lang w:val="x-none" w:eastAsia="en-US"/>
        </w:rPr>
        <w:t xml:space="preserve"> </w:t>
      </w:r>
      <w:r w:rsidR="0096397E">
        <w:rPr>
          <w:lang w:val="x-none" w:eastAsia="en-US"/>
        </w:rPr>
        <w:t>TRC</w:t>
      </w:r>
      <w:r>
        <w:rPr>
          <w:lang w:val="x-none" w:eastAsia="en-US"/>
        </w:rPr>
        <w:t xml:space="preserve"> benefits.</w:t>
      </w:r>
      <w:r w:rsidR="00255697">
        <w:rPr>
          <w:lang w:val="x-none" w:eastAsia="en-US"/>
        </w:rPr>
        <w:t xml:space="preserve"> (</w:t>
      </w:r>
      <w:r w:rsidR="001B3C38">
        <w:rPr>
          <w:lang w:val="x-none" w:eastAsia="en-US"/>
        </w:rPr>
        <w:t>Tr. 5106</w:t>
      </w:r>
      <w:r w:rsidR="00255697">
        <w:rPr>
          <w:lang w:val="x-none" w:eastAsia="en-US"/>
        </w:rPr>
        <w:t>.)</w:t>
      </w:r>
      <w:r>
        <w:rPr>
          <w:lang w:val="x-none" w:eastAsia="en-US"/>
        </w:rPr>
        <w:t xml:space="preserve"> For all program years (2026 through 2028), 95% of the TRC benefits are provided to customers.</w:t>
      </w:r>
    </w:p>
    <w:p w14:paraId="11E4A58E" w14:textId="5E1A43BA" w:rsidR="001C6585" w:rsidRPr="0080635E" w:rsidRDefault="00D41FF9" w:rsidP="007F46B5">
      <w:pPr>
        <w:pStyle w:val="SSBodyText"/>
        <w:rPr>
          <w:lang w:val="x-none"/>
        </w:rPr>
      </w:pPr>
      <w:r>
        <w:lastRenderedPageBreak/>
        <w:t>PIA</w:t>
      </w:r>
      <w:r w:rsidR="0080635E">
        <w:t xml:space="preserve"> Staff recommends that the Company receive an additional sum of </w:t>
      </w:r>
      <w:r w:rsidR="0080635E" w:rsidRPr="002A572C">
        <w:rPr>
          <w:lang w:val="x-none"/>
        </w:rPr>
        <w:t>$0.02 per kWh saved on net energy savings from income-qualified program</w:t>
      </w:r>
      <w:r w:rsidR="00392C8E">
        <w:rPr>
          <w:lang w:val="x-none"/>
        </w:rPr>
        <w:t xml:space="preserve">s, </w:t>
      </w:r>
      <w:r w:rsidR="00733D3A">
        <w:rPr>
          <w:lang w:val="x-none"/>
        </w:rPr>
        <w:t>while</w:t>
      </w:r>
      <w:r w:rsidR="0080635E">
        <w:rPr>
          <w:lang w:val="x-none"/>
        </w:rPr>
        <w:t xml:space="preserve"> maintain</w:t>
      </w:r>
      <w:r w:rsidR="00733D3A">
        <w:rPr>
          <w:lang w:val="x-none"/>
        </w:rPr>
        <w:t>ing</w:t>
      </w:r>
      <w:r w:rsidR="0080635E">
        <w:rPr>
          <w:lang w:val="x-none"/>
        </w:rPr>
        <w:t xml:space="preserve"> its current additional sum calculation</w:t>
      </w:r>
      <w:r w:rsidR="00D5601B">
        <w:rPr>
          <w:lang w:val="x-none"/>
        </w:rPr>
        <w:t xml:space="preserve"> for all other programs</w:t>
      </w:r>
      <w:r w:rsidR="00733D3A">
        <w:t xml:space="preserve">. However, </w:t>
      </w:r>
      <w:r w:rsidR="00E52132">
        <w:t xml:space="preserve">PIA </w:t>
      </w:r>
      <w:r w:rsidR="0080635E">
        <w:t>Staff provides no support for its arbitrary reduction to $0.02 per kWh saved on income-qualified programs. Further, no party disagrees that the Company should receive an additional sum. Accordingly, the Commission should approve the Company’s request for an additional sum.</w:t>
      </w:r>
    </w:p>
    <w:p w14:paraId="0BAFF7E7" w14:textId="19C04B18" w:rsidR="001C6585" w:rsidRPr="001C6585" w:rsidRDefault="0092150E" w:rsidP="00E97AF6">
      <w:pPr>
        <w:pStyle w:val="Heading2"/>
      </w:pPr>
      <w:bookmarkStart w:id="32" w:name="_Toc202446776"/>
      <w:r>
        <w:t xml:space="preserve">Georgia Power’s Decision </w:t>
      </w:r>
      <w:r w:rsidR="00232ABB">
        <w:t>N</w:t>
      </w:r>
      <w:r>
        <w:t xml:space="preserve">ot </w:t>
      </w:r>
      <w:r w:rsidR="00232ABB">
        <w:t>t</w:t>
      </w:r>
      <w:r>
        <w:t>o Rebut Every</w:t>
      </w:r>
      <w:r w:rsidR="000D1B44">
        <w:t xml:space="preserve"> PIA</w:t>
      </w:r>
      <w:r>
        <w:t xml:space="preserve"> Staff </w:t>
      </w:r>
      <w:r w:rsidR="00232ABB">
        <w:t>a</w:t>
      </w:r>
      <w:r>
        <w:t xml:space="preserve">nd Intervenor Assertion </w:t>
      </w:r>
      <w:r w:rsidR="00232ABB">
        <w:t>o</w:t>
      </w:r>
      <w:r>
        <w:t xml:space="preserve">r Allegation Does Not Mean </w:t>
      </w:r>
      <w:r w:rsidR="00232ABB">
        <w:t>t</w:t>
      </w:r>
      <w:r>
        <w:t xml:space="preserve">hat Georgia Power Concedes </w:t>
      </w:r>
      <w:r w:rsidR="00232ABB">
        <w:t>o</w:t>
      </w:r>
      <w:r>
        <w:t xml:space="preserve">r Agrees </w:t>
      </w:r>
      <w:r w:rsidR="00232ABB">
        <w:t>w</w:t>
      </w:r>
      <w:r w:rsidR="005A00E3">
        <w:t>ith</w:t>
      </w:r>
      <w:r>
        <w:t xml:space="preserve"> </w:t>
      </w:r>
      <w:r w:rsidR="00232ABB">
        <w:t>t</w:t>
      </w:r>
      <w:r>
        <w:t xml:space="preserve">he Assertion </w:t>
      </w:r>
      <w:r w:rsidR="00232ABB">
        <w:t>o</w:t>
      </w:r>
      <w:r>
        <w:t>r Allegation</w:t>
      </w:r>
      <w:r w:rsidR="001C6585" w:rsidRPr="001C6585">
        <w:t>.</w:t>
      </w:r>
      <w:bookmarkEnd w:id="32"/>
    </w:p>
    <w:p w14:paraId="40247F4E" w14:textId="6518435A" w:rsidR="00E4142E" w:rsidRPr="00E4142E" w:rsidRDefault="005C0F56" w:rsidP="007F46B5">
      <w:pPr>
        <w:pStyle w:val="SSBodyText"/>
      </w:pPr>
      <w:r>
        <w:t xml:space="preserve">It </w:t>
      </w:r>
      <w:r w:rsidR="00E4142E" w:rsidRPr="00E4142E">
        <w:t xml:space="preserve">would not be an effective use of PIA Staff, Intervenors, or this Commission’s time for Georgia Power to rebut every single allegation asserted or implied in the </w:t>
      </w:r>
      <w:r w:rsidR="003F4FCF">
        <w:t xml:space="preserve">27 </w:t>
      </w:r>
      <w:r w:rsidR="00164564" w:rsidRPr="00164564">
        <w:t>PIA Staff and Intervenor testimony filings made in this case</w:t>
      </w:r>
      <w:r w:rsidR="00E4142E" w:rsidRPr="00E4142E">
        <w:t>.</w:t>
      </w:r>
      <w:r w:rsidR="00164564">
        <w:t xml:space="preserve"> </w:t>
      </w:r>
      <w:r w:rsidR="00E4142E" w:rsidRPr="00E4142E">
        <w:t xml:space="preserve">As expressly stated in the Company’s </w:t>
      </w:r>
      <w:r w:rsidR="00BB0E8A">
        <w:t>R</w:t>
      </w:r>
      <w:r w:rsidR="00E4142E" w:rsidRPr="00E4142E">
        <w:t xml:space="preserve">ebuttal </w:t>
      </w:r>
      <w:r w:rsidR="00BB0E8A">
        <w:t>T</w:t>
      </w:r>
      <w:r w:rsidR="00E4142E" w:rsidRPr="00E4142E">
        <w:t>estimony:</w:t>
      </w:r>
    </w:p>
    <w:p w14:paraId="25A3BF61" w14:textId="1B66B53B" w:rsidR="00E4142E" w:rsidRDefault="00164564" w:rsidP="00164564">
      <w:pPr>
        <w:keepNext/>
        <w:tabs>
          <w:tab w:val="num" w:pos="5760"/>
        </w:tabs>
        <w:ind w:left="720" w:right="720"/>
        <w:jc w:val="both"/>
        <w:rPr>
          <w:rFonts w:eastAsia="PMingLiU"/>
          <w:lang w:eastAsia="zh-TW"/>
        </w:rPr>
      </w:pPr>
      <w:r w:rsidRPr="00164564">
        <w:rPr>
          <w:rFonts w:eastAsia="PMingLiU"/>
          <w:lang w:eastAsia="zh-TW"/>
        </w:rPr>
        <w:t>Due to the number of parties filing testimony in this case and the limited time available to file rebuttal, our testimony focuses on several key issues without attempting to address every issue or recommendation raised in Staff or Intervenor testimony. However, the fact</w:t>
      </w:r>
      <w:r>
        <w:rPr>
          <w:rFonts w:eastAsia="PMingLiU"/>
          <w:lang w:eastAsia="zh-TW"/>
        </w:rPr>
        <w:t xml:space="preserve"> </w:t>
      </w:r>
      <w:r w:rsidRPr="00164564">
        <w:rPr>
          <w:rFonts w:eastAsia="PMingLiU"/>
          <w:lang w:eastAsia="zh-TW"/>
        </w:rPr>
        <w:t xml:space="preserve">that the Company may not respond to a particular position of </w:t>
      </w:r>
      <w:proofErr w:type="gramStart"/>
      <w:r w:rsidRPr="00164564">
        <w:rPr>
          <w:rFonts w:eastAsia="PMingLiU"/>
          <w:lang w:eastAsia="zh-TW"/>
        </w:rPr>
        <w:t>Staff</w:t>
      </w:r>
      <w:proofErr w:type="gramEnd"/>
      <w:r w:rsidRPr="00164564">
        <w:rPr>
          <w:rFonts w:eastAsia="PMingLiU"/>
          <w:lang w:eastAsia="zh-TW"/>
        </w:rPr>
        <w:t xml:space="preserve"> or an Intervenor</w:t>
      </w:r>
      <w:r>
        <w:rPr>
          <w:rFonts w:eastAsia="PMingLiU"/>
          <w:lang w:eastAsia="zh-TW"/>
        </w:rPr>
        <w:t xml:space="preserve"> </w:t>
      </w:r>
      <w:r w:rsidRPr="00164564">
        <w:rPr>
          <w:rFonts w:eastAsia="PMingLiU"/>
          <w:lang w:eastAsia="zh-TW"/>
        </w:rPr>
        <w:t>should not be construed as acceptance of such position</w:t>
      </w:r>
      <w:r>
        <w:rPr>
          <w:rFonts w:eastAsia="PMingLiU"/>
          <w:lang w:eastAsia="zh-TW"/>
        </w:rPr>
        <w:t xml:space="preserve">. </w:t>
      </w:r>
      <w:r w:rsidR="00E4142E" w:rsidRPr="00E4142E">
        <w:rPr>
          <w:rFonts w:eastAsia="PMingLiU"/>
          <w:lang w:eastAsia="zh-TW"/>
        </w:rPr>
        <w:t>(</w:t>
      </w:r>
      <w:r w:rsidR="004210C3">
        <w:rPr>
          <w:rFonts w:eastAsia="PMingLiU"/>
          <w:lang w:eastAsia="zh-TW"/>
        </w:rPr>
        <w:t>Tr.</w:t>
      </w:r>
      <w:r w:rsidR="007074B1">
        <w:rPr>
          <w:rFonts w:eastAsia="PMingLiU"/>
          <w:lang w:eastAsia="zh-TW"/>
        </w:rPr>
        <w:t xml:space="preserve"> 4715</w:t>
      </w:r>
      <w:r w:rsidR="00DE7EC1">
        <w:rPr>
          <w:rFonts w:eastAsia="PMingLiU"/>
          <w:lang w:eastAsia="zh-TW"/>
        </w:rPr>
        <w:t>.</w:t>
      </w:r>
      <w:r w:rsidR="00E4142E" w:rsidRPr="00E4142E">
        <w:rPr>
          <w:rFonts w:eastAsia="PMingLiU"/>
          <w:lang w:eastAsia="zh-TW"/>
        </w:rPr>
        <w:t>)</w:t>
      </w:r>
    </w:p>
    <w:p w14:paraId="1A42DD07" w14:textId="77777777" w:rsidR="00E4142E" w:rsidRPr="00E4142E" w:rsidRDefault="00E4142E" w:rsidP="00D9470A">
      <w:pPr>
        <w:keepNext/>
        <w:tabs>
          <w:tab w:val="num" w:pos="5760"/>
        </w:tabs>
        <w:ind w:left="720" w:right="720"/>
        <w:jc w:val="both"/>
        <w:rPr>
          <w:rFonts w:eastAsia="PMingLiU"/>
          <w:lang w:eastAsia="zh-TW"/>
        </w:rPr>
      </w:pPr>
    </w:p>
    <w:p w14:paraId="377BA478" w14:textId="6D220999" w:rsidR="001C6585" w:rsidRDefault="00E4142E" w:rsidP="007F46B5">
      <w:pPr>
        <w:pStyle w:val="SSBodyText"/>
        <w:rPr>
          <w:lang w:eastAsia="en-US"/>
        </w:rPr>
        <w:sectPr w:rsidR="001C6585" w:rsidSect="001C6585">
          <w:footerReference w:type="default" r:id="rId18"/>
          <w:pgSz w:w="12240" w:h="15840"/>
          <w:pgMar w:top="1440" w:right="1440" w:bottom="1440" w:left="1440" w:header="720" w:footer="720" w:gutter="0"/>
          <w:pgNumType w:start="1"/>
          <w:cols w:space="720"/>
          <w:docGrid w:linePitch="360"/>
        </w:sectPr>
      </w:pPr>
      <w:r w:rsidRPr="00E4142E">
        <w:t xml:space="preserve">In the interest of expediency and efficiency in these proceedings, Georgia Power focused its rebuttal and its discussion in this brief on the core issues in dispute in this proceeding, rather than devoting unnecessary time and resources to refute positions that are clearly wrong or simply irrelevant to the issues presented in this docket. </w:t>
      </w:r>
      <w:r w:rsidR="00844452">
        <w:t>(</w:t>
      </w:r>
      <w:r w:rsidR="00951655">
        <w:t>Tr. 4715</w:t>
      </w:r>
      <w:r w:rsidR="00844452">
        <w:t xml:space="preserve">.) </w:t>
      </w:r>
      <w:r w:rsidRPr="00E4142E">
        <w:t xml:space="preserve">Moreover, even if Georgia Power had not expressly reserved this position, the Commission, PIA Staff, and Intervenors </w:t>
      </w:r>
      <w:r w:rsidR="00DA0A84">
        <w:t>should</w:t>
      </w:r>
      <w:r w:rsidR="00DA0A84" w:rsidRPr="00E4142E">
        <w:t xml:space="preserve"> </w:t>
      </w:r>
      <w:r w:rsidRPr="00E4142E">
        <w:t>not conclude that something was agreed to by the Company merely because it was not specifically addressed during rebuttal</w:t>
      </w:r>
      <w:r w:rsidR="0013628A">
        <w:t>.</w:t>
      </w:r>
    </w:p>
    <w:p w14:paraId="1D616E28" w14:textId="77777777" w:rsidR="001C6585" w:rsidRPr="0031186A" w:rsidRDefault="001C6585" w:rsidP="00D930B7">
      <w:pPr>
        <w:pStyle w:val="Heading1"/>
      </w:pPr>
      <w:bookmarkStart w:id="33" w:name="_Toc202446777"/>
      <w:r w:rsidRPr="0031186A">
        <w:lastRenderedPageBreak/>
        <w:t>CONCLUSION</w:t>
      </w:r>
      <w:bookmarkEnd w:id="33"/>
    </w:p>
    <w:p w14:paraId="3DCBB0D9" w14:textId="72904994" w:rsidR="001C6585" w:rsidRDefault="001C6585" w:rsidP="007F46B5">
      <w:pPr>
        <w:pStyle w:val="SSBodyText"/>
      </w:pPr>
      <w:r w:rsidRPr="004B4080">
        <w:t xml:space="preserve">For the reasons set forth above, and based on the record in this proceeding, the Commission should approve Georgia Power Company’s 2025 IRP and </w:t>
      </w:r>
      <w:r w:rsidRPr="00474170">
        <w:t xml:space="preserve">DSM Application, as modified by </w:t>
      </w:r>
      <w:r w:rsidR="00AD268F" w:rsidRPr="00474170">
        <w:t xml:space="preserve">recommendations included in </w:t>
      </w:r>
      <w:r w:rsidR="00186C42" w:rsidRPr="00474170">
        <w:t xml:space="preserve">Georgia Power’s </w:t>
      </w:r>
      <w:r w:rsidR="00AD268F" w:rsidRPr="00474170">
        <w:t>Rebuttal Testimony</w:t>
      </w:r>
      <w:r w:rsidRPr="00474170">
        <w:t>.</w:t>
      </w:r>
    </w:p>
    <w:p w14:paraId="4A4C5723" w14:textId="77777777" w:rsidR="001C6585" w:rsidRDefault="001C6585" w:rsidP="001C6585">
      <w:pPr>
        <w:suppressAutoHyphens/>
        <w:overflowPunct w:val="0"/>
        <w:autoSpaceDE w:val="0"/>
        <w:autoSpaceDN w:val="0"/>
        <w:adjustRightInd w:val="0"/>
        <w:spacing w:line="480" w:lineRule="auto"/>
        <w:ind w:firstLine="720"/>
        <w:jc w:val="both"/>
        <w:textAlignment w:val="baseline"/>
      </w:pPr>
    </w:p>
    <w:p w14:paraId="6DB7BF8A" w14:textId="77777777" w:rsidR="001C6585" w:rsidRDefault="001C6585" w:rsidP="00FC7F14">
      <w:pPr>
        <w:pStyle w:val="SSBodyText"/>
      </w:pPr>
      <w:r w:rsidRPr="00282F7E">
        <w:t xml:space="preserve">Respectfully submitted, this </w:t>
      </w:r>
      <w:r>
        <w:t>3rd</w:t>
      </w:r>
      <w:r w:rsidRPr="00282F7E">
        <w:t xml:space="preserve"> day of </w:t>
      </w:r>
      <w:r>
        <w:t>July 2025</w:t>
      </w:r>
      <w:r w:rsidRPr="00282F7E">
        <w:t>.</w:t>
      </w:r>
    </w:p>
    <w:p w14:paraId="3D3C0B91" w14:textId="77777777" w:rsidR="001C6585" w:rsidRDefault="001C6585" w:rsidP="001C6585">
      <w:pPr>
        <w:suppressAutoHyphens/>
        <w:overflowPunct w:val="0"/>
        <w:autoSpaceDE w:val="0"/>
        <w:autoSpaceDN w:val="0"/>
        <w:adjustRightInd w:val="0"/>
        <w:spacing w:line="480" w:lineRule="auto"/>
        <w:ind w:firstLine="720"/>
        <w:textAlignment w:val="baseline"/>
      </w:pPr>
    </w:p>
    <w:p w14:paraId="43948C06" w14:textId="77777777" w:rsidR="001C6585" w:rsidRPr="00282F7E" w:rsidRDefault="001C6585" w:rsidP="001C6585">
      <w:pPr>
        <w:suppressAutoHyphens/>
        <w:overflowPunct w:val="0"/>
        <w:autoSpaceDE w:val="0"/>
        <w:autoSpaceDN w:val="0"/>
        <w:adjustRightInd w:val="0"/>
        <w:ind w:firstLine="720"/>
        <w:textAlignment w:val="baseline"/>
      </w:pPr>
    </w:p>
    <w:p w14:paraId="34CC8D8F" w14:textId="77777777" w:rsidR="001C6585" w:rsidRPr="00282F7E" w:rsidRDefault="001C6585" w:rsidP="001C6585">
      <w:pPr>
        <w:suppressAutoHyphens/>
        <w:overflowPunct w:val="0"/>
        <w:autoSpaceDE w:val="0"/>
        <w:autoSpaceDN w:val="0"/>
        <w:adjustRightInd w:val="0"/>
        <w:ind w:right="1080"/>
        <w:jc w:val="right"/>
        <w:textAlignment w:val="baseline"/>
      </w:pPr>
      <w:r>
        <w:t xml:space="preserve"> </w:t>
      </w:r>
      <w:r>
        <w:tab/>
      </w:r>
      <w:r w:rsidRPr="00282F7E">
        <w:t>_________________________________</w:t>
      </w:r>
    </w:p>
    <w:p w14:paraId="265F7673" w14:textId="77777777" w:rsidR="001C6585" w:rsidRDefault="001C6585" w:rsidP="001C6585">
      <w:pPr>
        <w:suppressAutoHyphens/>
        <w:overflowPunct w:val="0"/>
        <w:autoSpaceDE w:val="0"/>
        <w:autoSpaceDN w:val="0"/>
        <w:adjustRightInd w:val="0"/>
        <w:ind w:left="4320" w:right="1080"/>
        <w:textAlignment w:val="baseline"/>
      </w:pPr>
      <w:r w:rsidRPr="00282F7E">
        <w:t>Brandon F. Marzo</w:t>
      </w:r>
    </w:p>
    <w:p w14:paraId="374FE8E7" w14:textId="77777777" w:rsidR="001C6585" w:rsidRDefault="001C6585" w:rsidP="001C6585">
      <w:pPr>
        <w:suppressAutoHyphens/>
        <w:overflowPunct w:val="0"/>
        <w:autoSpaceDE w:val="0"/>
        <w:autoSpaceDN w:val="0"/>
        <w:adjustRightInd w:val="0"/>
        <w:ind w:left="4320" w:right="1080"/>
        <w:textAlignment w:val="baseline"/>
      </w:pPr>
      <w:r>
        <w:t>Steven J. Hewitson</w:t>
      </w:r>
    </w:p>
    <w:p w14:paraId="0FA6B891" w14:textId="77777777" w:rsidR="001C6585" w:rsidRDefault="001C6585" w:rsidP="001C6585">
      <w:pPr>
        <w:suppressAutoHyphens/>
        <w:overflowPunct w:val="0"/>
        <w:autoSpaceDE w:val="0"/>
        <w:autoSpaceDN w:val="0"/>
        <w:adjustRightInd w:val="0"/>
        <w:ind w:left="4320" w:right="1080"/>
        <w:textAlignment w:val="baseline"/>
      </w:pPr>
      <w:r>
        <w:t>Allison W. Pryor</w:t>
      </w:r>
    </w:p>
    <w:p w14:paraId="0A035391" w14:textId="77777777" w:rsidR="001C6585" w:rsidRPr="00282F7E" w:rsidRDefault="001C6585" w:rsidP="001C6585">
      <w:pPr>
        <w:suppressAutoHyphens/>
        <w:overflowPunct w:val="0"/>
        <w:autoSpaceDE w:val="0"/>
        <w:autoSpaceDN w:val="0"/>
        <w:adjustRightInd w:val="0"/>
        <w:ind w:left="4320" w:right="1080"/>
        <w:textAlignment w:val="baseline"/>
      </w:pPr>
      <w:r>
        <w:t xml:space="preserve">Joshua W. Combs </w:t>
      </w:r>
    </w:p>
    <w:p w14:paraId="3CA9A0B1" w14:textId="77777777" w:rsidR="001C6585" w:rsidRPr="00282F7E" w:rsidRDefault="001C6585" w:rsidP="001C6585">
      <w:pPr>
        <w:suppressAutoHyphens/>
        <w:overflowPunct w:val="0"/>
        <w:autoSpaceDE w:val="0"/>
        <w:autoSpaceDN w:val="0"/>
        <w:adjustRightInd w:val="0"/>
        <w:spacing w:after="480"/>
        <w:ind w:left="4320" w:right="1080"/>
        <w:textAlignment w:val="baseline"/>
        <w:rPr>
          <w:i/>
        </w:rPr>
      </w:pPr>
      <w:r w:rsidRPr="00282F7E">
        <w:rPr>
          <w:i/>
        </w:rPr>
        <w:t>Attorneys for Georgia Power Company</w:t>
      </w:r>
    </w:p>
    <w:p w14:paraId="528676EC" w14:textId="77777777" w:rsidR="001C6585" w:rsidRPr="00A57841" w:rsidRDefault="001C6585" w:rsidP="001C6585">
      <w:pPr>
        <w:suppressAutoHyphens/>
        <w:overflowPunct w:val="0"/>
        <w:autoSpaceDE w:val="0"/>
        <w:autoSpaceDN w:val="0"/>
        <w:adjustRightInd w:val="0"/>
        <w:ind w:left="4320"/>
        <w:textAlignment w:val="baseline"/>
        <w:rPr>
          <w:smallCaps/>
        </w:rPr>
      </w:pPr>
      <w:r w:rsidRPr="00A57841">
        <w:rPr>
          <w:smallCaps/>
        </w:rPr>
        <w:t xml:space="preserve">Troutman </w:t>
      </w:r>
      <w:r>
        <w:rPr>
          <w:smallCaps/>
        </w:rPr>
        <w:t>Pepper Locke</w:t>
      </w:r>
      <w:r w:rsidRPr="00A57841">
        <w:rPr>
          <w:smallCaps/>
        </w:rPr>
        <w:t xml:space="preserve"> LLP</w:t>
      </w:r>
    </w:p>
    <w:p w14:paraId="0B8D26A9" w14:textId="77777777" w:rsidR="001C6585" w:rsidRPr="00282F7E" w:rsidRDefault="001C6585" w:rsidP="001C6585">
      <w:pPr>
        <w:suppressAutoHyphens/>
        <w:overflowPunct w:val="0"/>
        <w:autoSpaceDE w:val="0"/>
        <w:autoSpaceDN w:val="0"/>
        <w:adjustRightInd w:val="0"/>
        <w:ind w:left="4320" w:right="1080"/>
        <w:textAlignment w:val="baseline"/>
      </w:pPr>
      <w:r w:rsidRPr="00282F7E">
        <w:rPr>
          <w:smallCaps/>
        </w:rPr>
        <w:t>B</w:t>
      </w:r>
      <w:r w:rsidRPr="00282F7E">
        <w:t>ank of America Plaza</w:t>
      </w:r>
      <w:r>
        <w:t xml:space="preserve">, </w:t>
      </w:r>
      <w:r w:rsidRPr="00282F7E">
        <w:t xml:space="preserve">Suite </w:t>
      </w:r>
      <w:r>
        <w:t>3000</w:t>
      </w:r>
    </w:p>
    <w:p w14:paraId="4110DC97" w14:textId="77777777" w:rsidR="001C6585" w:rsidRPr="00282F7E" w:rsidRDefault="001C6585" w:rsidP="001C6585">
      <w:pPr>
        <w:suppressAutoHyphens/>
        <w:overflowPunct w:val="0"/>
        <w:autoSpaceDE w:val="0"/>
        <w:autoSpaceDN w:val="0"/>
        <w:adjustRightInd w:val="0"/>
        <w:ind w:left="4320" w:right="1080"/>
        <w:textAlignment w:val="baseline"/>
      </w:pPr>
      <w:r w:rsidRPr="00282F7E">
        <w:t>600 Peachtree Street, N.E.</w:t>
      </w:r>
    </w:p>
    <w:p w14:paraId="3EEB535D" w14:textId="77777777" w:rsidR="001C6585" w:rsidRPr="00282F7E" w:rsidRDefault="001C6585" w:rsidP="001C6585">
      <w:pPr>
        <w:suppressAutoHyphens/>
        <w:overflowPunct w:val="0"/>
        <w:autoSpaceDE w:val="0"/>
        <w:autoSpaceDN w:val="0"/>
        <w:adjustRightInd w:val="0"/>
        <w:ind w:left="4320" w:right="1080"/>
        <w:textAlignment w:val="baseline"/>
      </w:pPr>
      <w:r w:rsidRPr="00282F7E">
        <w:t>Atlanta, Georgia 30308-2216</w:t>
      </w:r>
    </w:p>
    <w:p w14:paraId="64E9EDB3" w14:textId="77777777" w:rsidR="001C6585" w:rsidRDefault="001C6585" w:rsidP="001C6585">
      <w:pPr>
        <w:suppressAutoHyphens/>
        <w:overflowPunct w:val="0"/>
        <w:autoSpaceDE w:val="0"/>
        <w:autoSpaceDN w:val="0"/>
        <w:adjustRightInd w:val="0"/>
        <w:ind w:left="4320" w:right="1080"/>
        <w:textAlignment w:val="baseline"/>
      </w:pPr>
      <w:r w:rsidRPr="00282F7E">
        <w:t>(404) 885-3000</w:t>
      </w:r>
    </w:p>
    <w:bookmarkEnd w:id="25"/>
    <w:bookmarkEnd w:id="26"/>
    <w:p w14:paraId="277F00E9" w14:textId="07BC7F0B" w:rsidR="00E17FC1" w:rsidRDefault="00E17FC1" w:rsidP="00D9470A">
      <w:pPr>
        <w:suppressAutoHyphens/>
        <w:overflowPunct w:val="0"/>
        <w:autoSpaceDE w:val="0"/>
        <w:autoSpaceDN w:val="0"/>
        <w:adjustRightInd w:val="0"/>
        <w:ind w:right="1080"/>
        <w:textAlignment w:val="baseline"/>
      </w:pPr>
    </w:p>
    <w:sectPr w:rsidR="00E17FC1" w:rsidSect="00654551">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C711" w14:textId="77777777" w:rsidR="00852365" w:rsidRDefault="00852365">
      <w:r>
        <w:separator/>
      </w:r>
    </w:p>
  </w:endnote>
  <w:endnote w:type="continuationSeparator" w:id="0">
    <w:p w14:paraId="4895FC86" w14:textId="77777777" w:rsidR="00852365" w:rsidRDefault="00852365">
      <w:r>
        <w:continuationSeparator/>
      </w:r>
    </w:p>
  </w:endnote>
  <w:endnote w:type="continuationNotice" w:id="1">
    <w:p w14:paraId="142929CA" w14:textId="77777777" w:rsidR="00852365" w:rsidRDefault="00852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A8742" w14:textId="77777777" w:rsidR="00252603" w:rsidRDefault="002526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222942"/>
      <w:docPartObj>
        <w:docPartGallery w:val="Page Numbers (Bottom of Page)"/>
        <w:docPartUnique/>
      </w:docPartObj>
    </w:sdtPr>
    <w:sdtEndPr>
      <w:rPr>
        <w:noProof/>
      </w:rPr>
    </w:sdtEndPr>
    <w:sdtContent>
      <w:p w14:paraId="0C0A00BD" w14:textId="77777777" w:rsidR="00E17FC1" w:rsidRDefault="00774707">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color w:val="2B579A"/>
            <w:shd w:val="clear" w:color="auto" w:fill="E6E6E6"/>
          </w:rPr>
          <w:fldChar w:fldCharType="end"/>
        </w:r>
      </w:p>
    </w:sdtContent>
  </w:sdt>
  <w:p w14:paraId="06FA5692" w14:textId="77777777" w:rsidR="00D7266E" w:rsidRDefault="00D7266E" w:rsidP="00654551">
    <w:pPr>
      <w:pStyle w:val="Footer"/>
      <w:spacing w:line="200" w:lineRule="exact"/>
      <w:rPr>
        <w:sz w:val="20"/>
      </w:rPr>
    </w:pPr>
  </w:p>
  <w:p w14:paraId="76CB126C" w14:textId="616F5A68" w:rsidR="00E17FC1" w:rsidRDefault="00D7266E" w:rsidP="00D7266E">
    <w:pPr>
      <w:pStyle w:val="Footer"/>
      <w:spacing w:line="200" w:lineRule="exact"/>
      <w:rPr>
        <w:sz w:val="20"/>
      </w:rPr>
    </w:pPr>
    <w:r>
      <w:rPr>
        <w:sz w:val="16"/>
      </w:rPr>
      <w:fldChar w:fldCharType="begin"/>
    </w:r>
    <w:r>
      <w:rPr>
        <w:sz w:val="16"/>
      </w:rPr>
      <w:instrText xml:space="preserve"> </w:instrText>
    </w:r>
    <w:r w:rsidRPr="00D7266E">
      <w:rPr>
        <w:sz w:val="16"/>
      </w:rPr>
      <w:instrText>IF "</w:instrText>
    </w:r>
    <w:r w:rsidRPr="00D7266E">
      <w:rPr>
        <w:sz w:val="16"/>
      </w:rPr>
      <w:fldChar w:fldCharType="begin"/>
    </w:r>
    <w:r w:rsidRPr="00D7266E">
      <w:rPr>
        <w:sz w:val="16"/>
      </w:rPr>
      <w:instrText xml:space="preserve"> DOCVARIABLE "SWDocIDLocation" </w:instrText>
    </w:r>
    <w:r w:rsidRPr="00D7266E">
      <w:rPr>
        <w:sz w:val="16"/>
      </w:rPr>
      <w:fldChar w:fldCharType="separate"/>
    </w:r>
    <w:r w:rsidR="00F137AB">
      <w:rPr>
        <w:sz w:val="16"/>
      </w:rPr>
      <w:instrText>1</w:instrText>
    </w:r>
    <w:r w:rsidRPr="00D7266E">
      <w:rPr>
        <w:sz w:val="16"/>
      </w:rPr>
      <w:fldChar w:fldCharType="end"/>
    </w:r>
    <w:r w:rsidRPr="00D7266E">
      <w:rPr>
        <w:sz w:val="16"/>
      </w:rPr>
      <w:instrText>" = "1" "</w:instrText>
    </w:r>
    <w:r w:rsidRPr="00D7266E">
      <w:rPr>
        <w:sz w:val="16"/>
      </w:rPr>
      <w:fldChar w:fldCharType="begin"/>
    </w:r>
    <w:r w:rsidRPr="00D7266E">
      <w:rPr>
        <w:sz w:val="16"/>
      </w:rPr>
      <w:instrText xml:space="preserve"> DOCPROPERTY "SWDocID" </w:instrText>
    </w:r>
    <w:r w:rsidRPr="00D7266E">
      <w:rPr>
        <w:sz w:val="16"/>
      </w:rPr>
      <w:fldChar w:fldCharType="separate"/>
    </w:r>
    <w:r w:rsidR="00F137AB">
      <w:rPr>
        <w:sz w:val="16"/>
      </w:rPr>
      <w:instrText>317037824v2</w:instrText>
    </w:r>
    <w:r w:rsidRPr="00D7266E">
      <w:rPr>
        <w:sz w:val="16"/>
      </w:rPr>
      <w:fldChar w:fldCharType="end"/>
    </w:r>
    <w:r w:rsidRPr="00D7266E">
      <w:rPr>
        <w:sz w:val="16"/>
      </w:rPr>
      <w:instrText>" ""</w:instrText>
    </w:r>
    <w:r>
      <w:rPr>
        <w:sz w:val="16"/>
      </w:rPr>
      <w:instrText xml:space="preserve"> </w:instrText>
    </w:r>
    <w:r>
      <w:rPr>
        <w:sz w:val="16"/>
      </w:rPr>
      <w:fldChar w:fldCharType="separate"/>
    </w:r>
    <w:r w:rsidR="00F137AB">
      <w:rPr>
        <w:noProof/>
        <w:sz w:val="16"/>
      </w:rPr>
      <w:t>317037824v2</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3293" w14:textId="2C8CF5FC" w:rsidR="00E17FC1" w:rsidRDefault="00E17FC1" w:rsidP="00631E13">
    <w:pPr>
      <w:pStyle w:val="Footer"/>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C87B" w14:textId="65D75AFA" w:rsidR="00E17FC1" w:rsidRDefault="00E17FC1" w:rsidP="00631E13">
    <w:pPr>
      <w:pStyle w:val="Footer"/>
      <w:spacing w:line="200" w:lineRule="exac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C365" w14:textId="77777777" w:rsidR="001C6585" w:rsidRDefault="001C6585" w:rsidP="00654551">
    <w:pPr>
      <w:pStyle w:val="Footer"/>
      <w:jc w:val="center"/>
      <w:rPr>
        <w:sz w:val="20"/>
      </w:rPr>
    </w:pPr>
  </w:p>
  <w:p w14:paraId="4AB8DE05" w14:textId="77777777" w:rsidR="001C6585" w:rsidRDefault="001C6585" w:rsidP="00654551">
    <w:pPr>
      <w:pStyle w:val="Footer"/>
      <w:jc w:val="center"/>
      <w:rPr>
        <w:sz w:val="20"/>
      </w:rPr>
    </w:pPr>
    <w:r>
      <w:rPr>
        <w:sz w:val="20"/>
      </w:rPr>
      <w:t xml:space="preserve">Final Brief of Georgia Power Company </w:t>
    </w:r>
  </w:p>
  <w:p w14:paraId="312A480C" w14:textId="77777777" w:rsidR="001C6585" w:rsidRDefault="001C6585" w:rsidP="00654551">
    <w:pPr>
      <w:pStyle w:val="Footer"/>
      <w:jc w:val="center"/>
      <w:rPr>
        <w:sz w:val="20"/>
      </w:rPr>
    </w:pPr>
    <w:r>
      <w:rPr>
        <w:sz w:val="20"/>
      </w:rPr>
      <w:t>Docket Nos. 56002 and 56003</w:t>
    </w:r>
  </w:p>
  <w:p w14:paraId="2625E389" w14:textId="00E42368" w:rsidR="001C6585" w:rsidRPr="00070A2D" w:rsidRDefault="00F137AB" w:rsidP="00070A2D">
    <w:pPr>
      <w:pStyle w:val="Footer"/>
      <w:jc w:val="center"/>
    </w:pPr>
    <w:sdt>
      <w:sdtPr>
        <w:rPr>
          <w:shd w:val="clear" w:color="auto" w:fill="E6E6E6"/>
        </w:rPr>
        <w:id w:val="1849281131"/>
        <w:docPartObj>
          <w:docPartGallery w:val="Page Numbers (Bottom of Page)"/>
          <w:docPartUnique/>
        </w:docPartObj>
      </w:sdtPr>
      <w:sdtEndPr>
        <w:rPr>
          <w:sz w:val="20"/>
          <w:shd w:val="clear" w:color="auto" w:fill="auto"/>
        </w:rPr>
      </w:sdtEndPr>
      <w:sdtContent>
        <w:sdt>
          <w:sdtPr>
            <w:id w:val="-735780990"/>
            <w:docPartObj>
              <w:docPartGallery w:val="Page Numbers (Top of Page)"/>
              <w:docPartUnique/>
            </w:docPartObj>
          </w:sdtPr>
          <w:sdtEndPr>
            <w:rPr>
              <w:sz w:val="20"/>
            </w:rPr>
          </w:sdtEndPr>
          <w:sdtContent>
            <w:r w:rsidR="001C6585" w:rsidRPr="00474170">
              <w:rPr>
                <w:sz w:val="20"/>
              </w:rPr>
              <w:t xml:space="preserve">Page </w:t>
            </w:r>
            <w:r w:rsidR="001C6585" w:rsidRPr="00474170">
              <w:rPr>
                <w:sz w:val="20"/>
              </w:rPr>
              <w:fldChar w:fldCharType="begin"/>
            </w:r>
            <w:r w:rsidR="001C6585" w:rsidRPr="00474170">
              <w:rPr>
                <w:sz w:val="20"/>
              </w:rPr>
              <w:instrText xml:space="preserve"> PAGE   \* MERGEFORMAT </w:instrText>
            </w:r>
            <w:r w:rsidR="001C6585" w:rsidRPr="00474170">
              <w:rPr>
                <w:sz w:val="20"/>
              </w:rPr>
              <w:fldChar w:fldCharType="separate"/>
            </w:r>
            <w:r w:rsidR="001C6585" w:rsidRPr="00474170">
              <w:rPr>
                <w:noProof/>
                <w:sz w:val="20"/>
              </w:rPr>
              <w:t>1</w:t>
            </w:r>
            <w:r w:rsidR="001C6585" w:rsidRPr="00474170">
              <w:rPr>
                <w:noProof/>
                <w:sz w:val="20"/>
              </w:rPr>
              <w:fldChar w:fldCharType="end"/>
            </w:r>
            <w:r w:rsidR="001C6585" w:rsidRPr="00474170">
              <w:rPr>
                <w:sz w:val="20"/>
              </w:rPr>
              <w:t xml:space="preserve"> of </w:t>
            </w:r>
            <w:r w:rsidR="009D3E5A" w:rsidRPr="00474170">
              <w:rPr>
                <w:sz w:val="20"/>
              </w:rPr>
              <w:t>3</w:t>
            </w:r>
            <w:r w:rsidR="004675AA" w:rsidRPr="00474170">
              <w:rPr>
                <w:sz w:val="20"/>
              </w:rPr>
              <w:t>7</w:t>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7394" w14:textId="77777777" w:rsidR="00E17FC1" w:rsidRDefault="00E17FC1" w:rsidP="00654551">
    <w:pPr>
      <w:pStyle w:val="Footer"/>
      <w:jc w:val="center"/>
      <w:rPr>
        <w:sz w:val="20"/>
      </w:rPr>
    </w:pPr>
  </w:p>
  <w:p w14:paraId="4422D8CC" w14:textId="77777777" w:rsidR="00E17FC1" w:rsidRDefault="00774707" w:rsidP="00654551">
    <w:pPr>
      <w:pStyle w:val="Footer"/>
      <w:jc w:val="center"/>
      <w:rPr>
        <w:sz w:val="20"/>
      </w:rPr>
    </w:pPr>
    <w:r>
      <w:rPr>
        <w:sz w:val="20"/>
      </w:rPr>
      <w:t xml:space="preserve">Final Brief of Georgia Power Company </w:t>
    </w:r>
  </w:p>
  <w:p w14:paraId="07E3D079" w14:textId="120D1EFC" w:rsidR="00E17FC1" w:rsidRDefault="00774707" w:rsidP="00654551">
    <w:pPr>
      <w:pStyle w:val="Footer"/>
      <w:jc w:val="center"/>
      <w:rPr>
        <w:sz w:val="20"/>
      </w:rPr>
    </w:pPr>
    <w:r>
      <w:rPr>
        <w:sz w:val="20"/>
      </w:rPr>
      <w:t xml:space="preserve">Docket Nos. </w:t>
    </w:r>
    <w:r w:rsidR="003413AC">
      <w:rPr>
        <w:sz w:val="20"/>
      </w:rPr>
      <w:t>56002</w:t>
    </w:r>
    <w:r>
      <w:rPr>
        <w:sz w:val="20"/>
      </w:rPr>
      <w:t xml:space="preserve"> and </w:t>
    </w:r>
    <w:r w:rsidR="003413AC">
      <w:rPr>
        <w:sz w:val="20"/>
      </w:rPr>
      <w:t>56003</w:t>
    </w:r>
  </w:p>
  <w:p w14:paraId="18D66219" w14:textId="600642C9" w:rsidR="00E17FC1" w:rsidRPr="004675AA" w:rsidRDefault="00F137AB" w:rsidP="004675AA">
    <w:pPr>
      <w:pStyle w:val="Footer"/>
      <w:jc w:val="center"/>
    </w:pPr>
    <w:sdt>
      <w:sdtPr>
        <w:rPr>
          <w:shd w:val="clear" w:color="auto" w:fill="E6E6E6"/>
        </w:rPr>
        <w:id w:val="1638146349"/>
        <w:docPartObj>
          <w:docPartGallery w:val="Page Numbers (Bottom of Page)"/>
          <w:docPartUnique/>
        </w:docPartObj>
      </w:sdtPr>
      <w:sdtEndPr>
        <w:rPr>
          <w:sz w:val="20"/>
          <w:shd w:val="clear" w:color="auto" w:fill="auto"/>
        </w:rPr>
      </w:sdtEndPr>
      <w:sdtContent>
        <w:sdt>
          <w:sdtPr>
            <w:id w:val="218403946"/>
            <w:docPartObj>
              <w:docPartGallery w:val="Page Numbers (Top of Page)"/>
              <w:docPartUnique/>
            </w:docPartObj>
          </w:sdtPr>
          <w:sdtEndPr>
            <w:rPr>
              <w:sz w:val="20"/>
            </w:rPr>
          </w:sdtEndPr>
          <w:sdtContent>
            <w:r w:rsidR="00774707" w:rsidRPr="00474170">
              <w:rPr>
                <w:sz w:val="20"/>
              </w:rPr>
              <w:t xml:space="preserve">Page </w:t>
            </w:r>
            <w:r w:rsidR="00774707" w:rsidRPr="00474170">
              <w:rPr>
                <w:sz w:val="20"/>
              </w:rPr>
              <w:fldChar w:fldCharType="begin"/>
            </w:r>
            <w:r w:rsidR="00774707" w:rsidRPr="00474170">
              <w:rPr>
                <w:sz w:val="20"/>
              </w:rPr>
              <w:instrText xml:space="preserve"> PAGE   \* MERGEFORMAT </w:instrText>
            </w:r>
            <w:r w:rsidR="00774707" w:rsidRPr="00474170">
              <w:rPr>
                <w:sz w:val="20"/>
              </w:rPr>
              <w:fldChar w:fldCharType="separate"/>
            </w:r>
            <w:r w:rsidR="00774707" w:rsidRPr="00474170">
              <w:rPr>
                <w:noProof/>
                <w:sz w:val="20"/>
              </w:rPr>
              <w:t>1</w:t>
            </w:r>
            <w:r w:rsidR="00774707" w:rsidRPr="00474170">
              <w:rPr>
                <w:noProof/>
                <w:sz w:val="20"/>
              </w:rPr>
              <w:fldChar w:fldCharType="end"/>
            </w:r>
            <w:r w:rsidR="00774707" w:rsidRPr="00474170">
              <w:rPr>
                <w:sz w:val="20"/>
              </w:rPr>
              <w:t xml:space="preserve"> of </w:t>
            </w:r>
          </w:sdtContent>
        </w:sdt>
      </w:sdtContent>
    </w:sdt>
    <w:r w:rsidR="009D3E5A" w:rsidRPr="00474170">
      <w:rPr>
        <w:sz w:val="20"/>
      </w:rPr>
      <w:t>3</w:t>
    </w:r>
    <w:r w:rsidR="004675AA" w:rsidRPr="00474170">
      <w:rPr>
        <w:sz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2797E" w14:textId="77777777" w:rsidR="00852365" w:rsidRDefault="00852365" w:rsidP="00654551">
      <w:r>
        <w:separator/>
      </w:r>
    </w:p>
  </w:footnote>
  <w:footnote w:type="continuationSeparator" w:id="0">
    <w:p w14:paraId="263DC0C8" w14:textId="77777777" w:rsidR="00852365" w:rsidRDefault="00852365" w:rsidP="00654551">
      <w:r>
        <w:continuationSeparator/>
      </w:r>
    </w:p>
  </w:footnote>
  <w:footnote w:type="continuationNotice" w:id="1">
    <w:p w14:paraId="2D27FC96" w14:textId="77777777" w:rsidR="00852365" w:rsidRDefault="00852365"/>
  </w:footnote>
  <w:footnote w:id="2">
    <w:p w14:paraId="0819422D" w14:textId="77777777" w:rsidR="001151A8" w:rsidRPr="00BA2B5E" w:rsidRDefault="001151A8" w:rsidP="001151A8">
      <w:pPr>
        <w:pStyle w:val="FootnoteText"/>
        <w:jc w:val="both"/>
      </w:pPr>
      <w:r w:rsidRPr="00BA2B5E">
        <w:rPr>
          <w:rStyle w:val="FootnoteReference"/>
        </w:rPr>
        <w:footnoteRef/>
      </w:r>
      <w:r w:rsidRPr="00BA2B5E">
        <w:t xml:space="preserve"> </w:t>
      </w:r>
      <w:r w:rsidRPr="00BA2B5E">
        <w:rPr>
          <w:i/>
          <w:iCs/>
        </w:rPr>
        <w:t>Order Adopting Stipulated Agreement</w:t>
      </w:r>
      <w:r w:rsidRPr="00BA2B5E">
        <w:t xml:space="preserve">, Attachment A, Docket No. 55378 (Apr. 26, 2024) at ¶ </w:t>
      </w:r>
      <w:r>
        <w:t>17</w:t>
      </w:r>
      <w:r w:rsidRPr="00BA2B5E">
        <w:t>.</w:t>
      </w:r>
    </w:p>
  </w:footnote>
  <w:footnote w:id="3">
    <w:p w14:paraId="449561F5" w14:textId="77777777" w:rsidR="00C505DF" w:rsidRDefault="00C505DF" w:rsidP="00C505DF">
      <w:pPr>
        <w:pStyle w:val="FootnoteText"/>
      </w:pPr>
      <w:r>
        <w:rPr>
          <w:rStyle w:val="FootnoteReference"/>
        </w:rPr>
        <w:footnoteRef/>
      </w:r>
      <w:r>
        <w:t xml:space="preserve"> </w:t>
      </w:r>
      <w:r w:rsidRPr="00F25C36">
        <w:rPr>
          <w:i/>
          <w:lang w:val="x-none"/>
        </w:rPr>
        <w:t xml:space="preserve">Bldg. for the Future </w:t>
      </w:r>
      <w:r w:rsidRPr="00F25C36">
        <w:rPr>
          <w:i/>
          <w:iCs/>
          <w:lang w:val="x-none"/>
        </w:rPr>
        <w:t>Through</w:t>
      </w:r>
      <w:r w:rsidRPr="00F25C36">
        <w:rPr>
          <w:i/>
          <w:lang w:val="x-none"/>
        </w:rPr>
        <w:t xml:space="preserve"> Elec. Reg’l Transmission </w:t>
      </w:r>
      <w:r w:rsidRPr="00F25C36">
        <w:rPr>
          <w:i/>
          <w:iCs/>
          <w:lang w:val="x-none"/>
        </w:rPr>
        <w:t>Plan.</w:t>
      </w:r>
      <w:r w:rsidRPr="00F25C36">
        <w:rPr>
          <w:i/>
          <w:lang w:val="x-none"/>
        </w:rPr>
        <w:t xml:space="preserve"> &amp; Cost Allocation</w:t>
      </w:r>
      <w:r w:rsidRPr="00F25C36">
        <w:rPr>
          <w:lang w:val="x-none"/>
        </w:rPr>
        <w:t>, 187 FERC ¶ 61,068 (2024) (“Order 1920”)</w:t>
      </w:r>
      <w:r>
        <w:rPr>
          <w:lang w:val="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F7F7" w14:textId="77777777" w:rsidR="00252603" w:rsidRDefault="00252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6A32" w14:textId="77777777" w:rsidR="00252603" w:rsidRDefault="00252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0B92" w14:textId="77777777" w:rsidR="00E17FC1" w:rsidRPr="00192C17" w:rsidRDefault="00774707" w:rsidP="00654551">
    <w:pPr>
      <w:pStyle w:val="Header"/>
    </w:pPr>
    <w:r w:rsidRPr="00192C1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6BB"/>
    <w:multiLevelType w:val="hybridMultilevel"/>
    <w:tmpl w:val="2FDC5F9A"/>
    <w:lvl w:ilvl="0" w:tplc="F2A67146">
      <w:start w:val="1"/>
      <w:numFmt w:val="bullet"/>
      <w:lvlText w:val=""/>
      <w:lvlJc w:val="left"/>
      <w:pPr>
        <w:ind w:left="1440" w:hanging="360"/>
      </w:pPr>
      <w:rPr>
        <w:rFonts w:ascii="Symbol" w:hAnsi="Symbol"/>
      </w:rPr>
    </w:lvl>
    <w:lvl w:ilvl="1" w:tplc="F8C8D800">
      <w:start w:val="1"/>
      <w:numFmt w:val="bullet"/>
      <w:lvlText w:val=""/>
      <w:lvlJc w:val="left"/>
      <w:pPr>
        <w:ind w:left="1440" w:hanging="360"/>
      </w:pPr>
      <w:rPr>
        <w:rFonts w:ascii="Symbol" w:hAnsi="Symbol"/>
      </w:rPr>
    </w:lvl>
    <w:lvl w:ilvl="2" w:tplc="2EEC8BEE">
      <w:start w:val="1"/>
      <w:numFmt w:val="bullet"/>
      <w:lvlText w:val=""/>
      <w:lvlJc w:val="left"/>
      <w:pPr>
        <w:ind w:left="1440" w:hanging="360"/>
      </w:pPr>
      <w:rPr>
        <w:rFonts w:ascii="Symbol" w:hAnsi="Symbol"/>
      </w:rPr>
    </w:lvl>
    <w:lvl w:ilvl="3" w:tplc="BAD04B18">
      <w:start w:val="1"/>
      <w:numFmt w:val="bullet"/>
      <w:lvlText w:val=""/>
      <w:lvlJc w:val="left"/>
      <w:pPr>
        <w:ind w:left="1440" w:hanging="360"/>
      </w:pPr>
      <w:rPr>
        <w:rFonts w:ascii="Symbol" w:hAnsi="Symbol"/>
      </w:rPr>
    </w:lvl>
    <w:lvl w:ilvl="4" w:tplc="65B68ECE">
      <w:start w:val="1"/>
      <w:numFmt w:val="bullet"/>
      <w:lvlText w:val=""/>
      <w:lvlJc w:val="left"/>
      <w:pPr>
        <w:ind w:left="1440" w:hanging="360"/>
      </w:pPr>
      <w:rPr>
        <w:rFonts w:ascii="Symbol" w:hAnsi="Symbol"/>
      </w:rPr>
    </w:lvl>
    <w:lvl w:ilvl="5" w:tplc="EBC6C708">
      <w:start w:val="1"/>
      <w:numFmt w:val="bullet"/>
      <w:lvlText w:val=""/>
      <w:lvlJc w:val="left"/>
      <w:pPr>
        <w:ind w:left="1440" w:hanging="360"/>
      </w:pPr>
      <w:rPr>
        <w:rFonts w:ascii="Symbol" w:hAnsi="Symbol"/>
      </w:rPr>
    </w:lvl>
    <w:lvl w:ilvl="6" w:tplc="0F2A4434">
      <w:start w:val="1"/>
      <w:numFmt w:val="bullet"/>
      <w:lvlText w:val=""/>
      <w:lvlJc w:val="left"/>
      <w:pPr>
        <w:ind w:left="1440" w:hanging="360"/>
      </w:pPr>
      <w:rPr>
        <w:rFonts w:ascii="Symbol" w:hAnsi="Symbol"/>
      </w:rPr>
    </w:lvl>
    <w:lvl w:ilvl="7" w:tplc="0D782A04">
      <w:start w:val="1"/>
      <w:numFmt w:val="bullet"/>
      <w:lvlText w:val=""/>
      <w:lvlJc w:val="left"/>
      <w:pPr>
        <w:ind w:left="1440" w:hanging="360"/>
      </w:pPr>
      <w:rPr>
        <w:rFonts w:ascii="Symbol" w:hAnsi="Symbol"/>
      </w:rPr>
    </w:lvl>
    <w:lvl w:ilvl="8" w:tplc="27EA9BC0">
      <w:start w:val="1"/>
      <w:numFmt w:val="bullet"/>
      <w:lvlText w:val=""/>
      <w:lvlJc w:val="left"/>
      <w:pPr>
        <w:ind w:left="1440" w:hanging="360"/>
      </w:pPr>
      <w:rPr>
        <w:rFonts w:ascii="Symbol" w:hAnsi="Symbol"/>
      </w:rPr>
    </w:lvl>
  </w:abstractNum>
  <w:abstractNum w:abstractNumId="1" w15:restartNumberingAfterBreak="0">
    <w:nsid w:val="0E2719AC"/>
    <w:multiLevelType w:val="hybridMultilevel"/>
    <w:tmpl w:val="7374BA6E"/>
    <w:lvl w:ilvl="0" w:tplc="4ECC77F2">
      <w:start w:val="1"/>
      <w:numFmt w:val="decimal"/>
      <w:pStyle w:val="Heading3"/>
      <w:lvlText w:val="%1."/>
      <w:lvlJc w:val="left"/>
      <w:pPr>
        <w:ind w:left="10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046B8"/>
    <w:multiLevelType w:val="hybridMultilevel"/>
    <w:tmpl w:val="869CA398"/>
    <w:lvl w:ilvl="0" w:tplc="4D426A9A">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46AE7"/>
    <w:multiLevelType w:val="hybridMultilevel"/>
    <w:tmpl w:val="FC16839C"/>
    <w:lvl w:ilvl="0" w:tplc="566012AE">
      <w:start w:val="1"/>
      <w:numFmt w:val="bullet"/>
      <w:lvlText w:val=""/>
      <w:lvlJc w:val="left"/>
      <w:pPr>
        <w:ind w:left="720" w:hanging="360"/>
      </w:pPr>
      <w:rPr>
        <w:rFonts w:ascii="Symbol" w:hAnsi="Symbol"/>
      </w:rPr>
    </w:lvl>
    <w:lvl w:ilvl="1" w:tplc="E82EE628">
      <w:start w:val="1"/>
      <w:numFmt w:val="bullet"/>
      <w:lvlText w:val=""/>
      <w:lvlJc w:val="left"/>
      <w:pPr>
        <w:ind w:left="720" w:hanging="360"/>
      </w:pPr>
      <w:rPr>
        <w:rFonts w:ascii="Symbol" w:hAnsi="Symbol"/>
      </w:rPr>
    </w:lvl>
    <w:lvl w:ilvl="2" w:tplc="246C948C">
      <w:start w:val="1"/>
      <w:numFmt w:val="bullet"/>
      <w:lvlText w:val=""/>
      <w:lvlJc w:val="left"/>
      <w:pPr>
        <w:ind w:left="720" w:hanging="360"/>
      </w:pPr>
      <w:rPr>
        <w:rFonts w:ascii="Symbol" w:hAnsi="Symbol"/>
      </w:rPr>
    </w:lvl>
    <w:lvl w:ilvl="3" w:tplc="525E58FC">
      <w:start w:val="1"/>
      <w:numFmt w:val="bullet"/>
      <w:lvlText w:val=""/>
      <w:lvlJc w:val="left"/>
      <w:pPr>
        <w:ind w:left="720" w:hanging="360"/>
      </w:pPr>
      <w:rPr>
        <w:rFonts w:ascii="Symbol" w:hAnsi="Symbol"/>
      </w:rPr>
    </w:lvl>
    <w:lvl w:ilvl="4" w:tplc="2A28A7B4">
      <w:start w:val="1"/>
      <w:numFmt w:val="bullet"/>
      <w:lvlText w:val=""/>
      <w:lvlJc w:val="left"/>
      <w:pPr>
        <w:ind w:left="720" w:hanging="360"/>
      </w:pPr>
      <w:rPr>
        <w:rFonts w:ascii="Symbol" w:hAnsi="Symbol"/>
      </w:rPr>
    </w:lvl>
    <w:lvl w:ilvl="5" w:tplc="14C8B20A">
      <w:start w:val="1"/>
      <w:numFmt w:val="bullet"/>
      <w:lvlText w:val=""/>
      <w:lvlJc w:val="left"/>
      <w:pPr>
        <w:ind w:left="720" w:hanging="360"/>
      </w:pPr>
      <w:rPr>
        <w:rFonts w:ascii="Symbol" w:hAnsi="Symbol"/>
      </w:rPr>
    </w:lvl>
    <w:lvl w:ilvl="6" w:tplc="DF52F0A2">
      <w:start w:val="1"/>
      <w:numFmt w:val="bullet"/>
      <w:lvlText w:val=""/>
      <w:lvlJc w:val="left"/>
      <w:pPr>
        <w:ind w:left="720" w:hanging="360"/>
      </w:pPr>
      <w:rPr>
        <w:rFonts w:ascii="Symbol" w:hAnsi="Symbol"/>
      </w:rPr>
    </w:lvl>
    <w:lvl w:ilvl="7" w:tplc="363E4292">
      <w:start w:val="1"/>
      <w:numFmt w:val="bullet"/>
      <w:lvlText w:val=""/>
      <w:lvlJc w:val="left"/>
      <w:pPr>
        <w:ind w:left="720" w:hanging="360"/>
      </w:pPr>
      <w:rPr>
        <w:rFonts w:ascii="Symbol" w:hAnsi="Symbol"/>
      </w:rPr>
    </w:lvl>
    <w:lvl w:ilvl="8" w:tplc="2EF84718">
      <w:start w:val="1"/>
      <w:numFmt w:val="bullet"/>
      <w:lvlText w:val=""/>
      <w:lvlJc w:val="left"/>
      <w:pPr>
        <w:ind w:left="720" w:hanging="360"/>
      </w:pPr>
      <w:rPr>
        <w:rFonts w:ascii="Symbol" w:hAnsi="Symbol"/>
      </w:rPr>
    </w:lvl>
  </w:abstractNum>
  <w:abstractNum w:abstractNumId="4" w15:restartNumberingAfterBreak="0">
    <w:nsid w:val="2E68014F"/>
    <w:multiLevelType w:val="hybridMultilevel"/>
    <w:tmpl w:val="B2E207E4"/>
    <w:lvl w:ilvl="0" w:tplc="1E421810">
      <w:start w:val="1"/>
      <w:numFmt w:val="bullet"/>
      <w:lvlText w:val=""/>
      <w:lvlJc w:val="left"/>
      <w:pPr>
        <w:ind w:left="720" w:hanging="360"/>
      </w:pPr>
      <w:rPr>
        <w:rFonts w:ascii="Symbol" w:hAnsi="Symbol"/>
      </w:rPr>
    </w:lvl>
    <w:lvl w:ilvl="1" w:tplc="80E69104">
      <w:start w:val="1"/>
      <w:numFmt w:val="bullet"/>
      <w:lvlText w:val=""/>
      <w:lvlJc w:val="left"/>
      <w:pPr>
        <w:ind w:left="720" w:hanging="360"/>
      </w:pPr>
      <w:rPr>
        <w:rFonts w:ascii="Symbol" w:hAnsi="Symbol"/>
      </w:rPr>
    </w:lvl>
    <w:lvl w:ilvl="2" w:tplc="DA440F6E">
      <w:start w:val="1"/>
      <w:numFmt w:val="bullet"/>
      <w:lvlText w:val=""/>
      <w:lvlJc w:val="left"/>
      <w:pPr>
        <w:ind w:left="720" w:hanging="360"/>
      </w:pPr>
      <w:rPr>
        <w:rFonts w:ascii="Symbol" w:hAnsi="Symbol"/>
      </w:rPr>
    </w:lvl>
    <w:lvl w:ilvl="3" w:tplc="4BD6E50A">
      <w:start w:val="1"/>
      <w:numFmt w:val="bullet"/>
      <w:lvlText w:val=""/>
      <w:lvlJc w:val="left"/>
      <w:pPr>
        <w:ind w:left="720" w:hanging="360"/>
      </w:pPr>
      <w:rPr>
        <w:rFonts w:ascii="Symbol" w:hAnsi="Symbol"/>
      </w:rPr>
    </w:lvl>
    <w:lvl w:ilvl="4" w:tplc="76E24BEE">
      <w:start w:val="1"/>
      <w:numFmt w:val="bullet"/>
      <w:lvlText w:val=""/>
      <w:lvlJc w:val="left"/>
      <w:pPr>
        <w:ind w:left="720" w:hanging="360"/>
      </w:pPr>
      <w:rPr>
        <w:rFonts w:ascii="Symbol" w:hAnsi="Symbol"/>
      </w:rPr>
    </w:lvl>
    <w:lvl w:ilvl="5" w:tplc="4650C286">
      <w:start w:val="1"/>
      <w:numFmt w:val="bullet"/>
      <w:lvlText w:val=""/>
      <w:lvlJc w:val="left"/>
      <w:pPr>
        <w:ind w:left="720" w:hanging="360"/>
      </w:pPr>
      <w:rPr>
        <w:rFonts w:ascii="Symbol" w:hAnsi="Symbol"/>
      </w:rPr>
    </w:lvl>
    <w:lvl w:ilvl="6" w:tplc="288E484E">
      <w:start w:val="1"/>
      <w:numFmt w:val="bullet"/>
      <w:lvlText w:val=""/>
      <w:lvlJc w:val="left"/>
      <w:pPr>
        <w:ind w:left="720" w:hanging="360"/>
      </w:pPr>
      <w:rPr>
        <w:rFonts w:ascii="Symbol" w:hAnsi="Symbol"/>
      </w:rPr>
    </w:lvl>
    <w:lvl w:ilvl="7" w:tplc="38DEED50">
      <w:start w:val="1"/>
      <w:numFmt w:val="bullet"/>
      <w:lvlText w:val=""/>
      <w:lvlJc w:val="left"/>
      <w:pPr>
        <w:ind w:left="720" w:hanging="360"/>
      </w:pPr>
      <w:rPr>
        <w:rFonts w:ascii="Symbol" w:hAnsi="Symbol"/>
      </w:rPr>
    </w:lvl>
    <w:lvl w:ilvl="8" w:tplc="999EEA86">
      <w:start w:val="1"/>
      <w:numFmt w:val="bullet"/>
      <w:lvlText w:val=""/>
      <w:lvlJc w:val="left"/>
      <w:pPr>
        <w:ind w:left="720" w:hanging="360"/>
      </w:pPr>
      <w:rPr>
        <w:rFonts w:ascii="Symbol" w:hAnsi="Symbol"/>
      </w:rPr>
    </w:lvl>
  </w:abstractNum>
  <w:abstractNum w:abstractNumId="5" w15:restartNumberingAfterBreak="0">
    <w:nsid w:val="48F22A94"/>
    <w:multiLevelType w:val="hybridMultilevel"/>
    <w:tmpl w:val="5F6E55EE"/>
    <w:lvl w:ilvl="0" w:tplc="931AB6AA">
      <w:start w:val="1"/>
      <w:numFmt w:val="lowerLetter"/>
      <w:pStyle w:val="Heading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E2D0D93"/>
    <w:multiLevelType w:val="multilevel"/>
    <w:tmpl w:val="8F5AE3FA"/>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0" w:firstLine="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800" w:hanging="360"/>
      </w:pPr>
      <w:rPr>
        <w:rFonts w:hint="default"/>
      </w:rPr>
    </w:lvl>
    <w:lvl w:ilvl="3">
      <w:start w:val="1"/>
      <w:numFmt w:val="lowerLetter"/>
      <w:lvlText w:val="%4)"/>
      <w:lvlJc w:val="left"/>
      <w:pPr>
        <w:ind w:left="1170" w:hanging="360"/>
      </w:pPr>
    </w:lvl>
    <w:lvl w:ilvl="4">
      <w:start w:val="1"/>
      <w:numFmt w:val="lowerRoman"/>
      <w:lvlText w:val="(%5)"/>
      <w:lvlJc w:val="left"/>
      <w:pPr>
        <w:tabs>
          <w:tab w:val="num" w:pos="3600"/>
        </w:tabs>
        <w:ind w:left="0" w:firstLine="2880"/>
      </w:pPr>
      <w:rPr>
        <w:b w:val="0"/>
        <w:i w:val="0"/>
        <w:caps w:val="0"/>
        <w:smallCaps w:val="0"/>
        <w:u w:val="none"/>
      </w:rPr>
    </w:lvl>
    <w:lvl w:ilvl="5">
      <w:start w:val="1"/>
      <w:numFmt w:val="lowerLetter"/>
      <w:lvlText w:val="(%6)"/>
      <w:lvlJc w:val="left"/>
      <w:pPr>
        <w:tabs>
          <w:tab w:val="num" w:pos="4320"/>
        </w:tabs>
        <w:ind w:left="0" w:firstLine="3600"/>
      </w:pPr>
      <w:rPr>
        <w:b w:val="0"/>
        <w:i w:val="0"/>
        <w:caps w:val="0"/>
        <w:smallCaps w:val="0"/>
        <w:u w:val="none"/>
      </w:rPr>
    </w:lvl>
    <w:lvl w:ilvl="6">
      <w:start w:val="1"/>
      <w:numFmt w:val="decimal"/>
      <w:lvlText w:val="(%7)"/>
      <w:lvlJc w:val="left"/>
      <w:pPr>
        <w:tabs>
          <w:tab w:val="num" w:pos="5040"/>
        </w:tabs>
        <w:ind w:left="0" w:firstLine="4320"/>
      </w:pPr>
      <w:rPr>
        <w:b w:val="0"/>
        <w:i w:val="0"/>
        <w:caps w:val="0"/>
        <w:smallCaps w:val="0"/>
        <w:u w:val="none"/>
      </w:rPr>
    </w:lvl>
    <w:lvl w:ilvl="7">
      <w:start w:val="1"/>
      <w:numFmt w:val="lowerRoman"/>
      <w:lvlText w:val="%8)"/>
      <w:lvlJc w:val="left"/>
      <w:pPr>
        <w:tabs>
          <w:tab w:val="num" w:pos="5760"/>
        </w:tabs>
        <w:ind w:left="0" w:firstLine="5040"/>
      </w:pPr>
      <w:rPr>
        <w:b w:val="0"/>
        <w:i w:val="0"/>
        <w:caps w:val="0"/>
        <w:smallCaps w:val="0"/>
        <w:u w:val="none"/>
      </w:rPr>
    </w:lvl>
    <w:lvl w:ilvl="8">
      <w:start w:val="1"/>
      <w:numFmt w:val="lowerLetter"/>
      <w:lvlText w:val="%9)"/>
      <w:lvlJc w:val="left"/>
      <w:pPr>
        <w:tabs>
          <w:tab w:val="num" w:pos="6480"/>
        </w:tabs>
        <w:ind w:left="0" w:firstLine="5760"/>
      </w:pPr>
      <w:rPr>
        <w:b w:val="0"/>
        <w:i w:val="0"/>
        <w:caps w:val="0"/>
        <w:smallCaps w:val="0"/>
        <w:u w:val="none"/>
      </w:rPr>
    </w:lvl>
  </w:abstractNum>
  <w:abstractNum w:abstractNumId="8" w15:restartNumberingAfterBreak="0">
    <w:nsid w:val="77F53288"/>
    <w:multiLevelType w:val="hybridMultilevel"/>
    <w:tmpl w:val="7286E05A"/>
    <w:lvl w:ilvl="0" w:tplc="05E8D9E4">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1126EB"/>
    <w:multiLevelType w:val="hybridMultilevel"/>
    <w:tmpl w:val="A2204B8A"/>
    <w:lvl w:ilvl="0" w:tplc="49E40666">
      <w:start w:val="1"/>
      <w:numFmt w:val="bullet"/>
      <w:lvlText w:val=""/>
      <w:lvlJc w:val="left"/>
      <w:pPr>
        <w:ind w:left="720" w:hanging="360"/>
      </w:pPr>
      <w:rPr>
        <w:rFonts w:ascii="Symbol" w:hAnsi="Symbol"/>
      </w:rPr>
    </w:lvl>
    <w:lvl w:ilvl="1" w:tplc="F2C64D50">
      <w:start w:val="1"/>
      <w:numFmt w:val="bullet"/>
      <w:lvlText w:val=""/>
      <w:lvlJc w:val="left"/>
      <w:pPr>
        <w:ind w:left="720" w:hanging="360"/>
      </w:pPr>
      <w:rPr>
        <w:rFonts w:ascii="Symbol" w:hAnsi="Symbol"/>
      </w:rPr>
    </w:lvl>
    <w:lvl w:ilvl="2" w:tplc="47CE27B8">
      <w:start w:val="1"/>
      <w:numFmt w:val="bullet"/>
      <w:lvlText w:val=""/>
      <w:lvlJc w:val="left"/>
      <w:pPr>
        <w:ind w:left="720" w:hanging="360"/>
      </w:pPr>
      <w:rPr>
        <w:rFonts w:ascii="Symbol" w:hAnsi="Symbol"/>
      </w:rPr>
    </w:lvl>
    <w:lvl w:ilvl="3" w:tplc="27DA4F70">
      <w:start w:val="1"/>
      <w:numFmt w:val="bullet"/>
      <w:lvlText w:val=""/>
      <w:lvlJc w:val="left"/>
      <w:pPr>
        <w:ind w:left="720" w:hanging="360"/>
      </w:pPr>
      <w:rPr>
        <w:rFonts w:ascii="Symbol" w:hAnsi="Symbol"/>
      </w:rPr>
    </w:lvl>
    <w:lvl w:ilvl="4" w:tplc="DF04208C">
      <w:start w:val="1"/>
      <w:numFmt w:val="bullet"/>
      <w:lvlText w:val=""/>
      <w:lvlJc w:val="left"/>
      <w:pPr>
        <w:ind w:left="720" w:hanging="360"/>
      </w:pPr>
      <w:rPr>
        <w:rFonts w:ascii="Symbol" w:hAnsi="Symbol"/>
      </w:rPr>
    </w:lvl>
    <w:lvl w:ilvl="5" w:tplc="0FFA697E">
      <w:start w:val="1"/>
      <w:numFmt w:val="bullet"/>
      <w:lvlText w:val=""/>
      <w:lvlJc w:val="left"/>
      <w:pPr>
        <w:ind w:left="720" w:hanging="360"/>
      </w:pPr>
      <w:rPr>
        <w:rFonts w:ascii="Symbol" w:hAnsi="Symbol"/>
      </w:rPr>
    </w:lvl>
    <w:lvl w:ilvl="6" w:tplc="69568E1A">
      <w:start w:val="1"/>
      <w:numFmt w:val="bullet"/>
      <w:lvlText w:val=""/>
      <w:lvlJc w:val="left"/>
      <w:pPr>
        <w:ind w:left="720" w:hanging="360"/>
      </w:pPr>
      <w:rPr>
        <w:rFonts w:ascii="Symbol" w:hAnsi="Symbol"/>
      </w:rPr>
    </w:lvl>
    <w:lvl w:ilvl="7" w:tplc="1F3210F8">
      <w:start w:val="1"/>
      <w:numFmt w:val="bullet"/>
      <w:lvlText w:val=""/>
      <w:lvlJc w:val="left"/>
      <w:pPr>
        <w:ind w:left="720" w:hanging="360"/>
      </w:pPr>
      <w:rPr>
        <w:rFonts w:ascii="Symbol" w:hAnsi="Symbol"/>
      </w:rPr>
    </w:lvl>
    <w:lvl w:ilvl="8" w:tplc="65280DAA">
      <w:start w:val="1"/>
      <w:numFmt w:val="bullet"/>
      <w:lvlText w:val=""/>
      <w:lvlJc w:val="left"/>
      <w:pPr>
        <w:ind w:left="720" w:hanging="360"/>
      </w:pPr>
      <w:rPr>
        <w:rFonts w:ascii="Symbol" w:hAnsi="Symbol"/>
      </w:rPr>
    </w:lvl>
  </w:abstractNum>
  <w:num w:numId="1" w16cid:durableId="860584882">
    <w:abstractNumId w:val="6"/>
  </w:num>
  <w:num w:numId="2" w16cid:durableId="1288393235">
    <w:abstractNumId w:val="7"/>
  </w:num>
  <w:num w:numId="3" w16cid:durableId="1040086386">
    <w:abstractNumId w:val="8"/>
  </w:num>
  <w:num w:numId="4" w16cid:durableId="11958186">
    <w:abstractNumId w:val="2"/>
  </w:num>
  <w:num w:numId="5" w16cid:durableId="413284605">
    <w:abstractNumId w:val="1"/>
  </w:num>
  <w:num w:numId="6" w16cid:durableId="2073844428">
    <w:abstractNumId w:val="1"/>
    <w:lvlOverride w:ilvl="0">
      <w:startOverride w:val="1"/>
    </w:lvlOverride>
  </w:num>
  <w:num w:numId="7" w16cid:durableId="197013138">
    <w:abstractNumId w:val="5"/>
  </w:num>
  <w:num w:numId="8" w16cid:durableId="800684785">
    <w:abstractNumId w:val="5"/>
    <w:lvlOverride w:ilvl="0">
      <w:startOverride w:val="1"/>
    </w:lvlOverride>
  </w:num>
  <w:num w:numId="9" w16cid:durableId="1317370867">
    <w:abstractNumId w:val="5"/>
    <w:lvlOverride w:ilvl="0">
      <w:startOverride w:val="1"/>
    </w:lvlOverride>
  </w:num>
  <w:num w:numId="10" w16cid:durableId="1475484420">
    <w:abstractNumId w:val="3"/>
  </w:num>
  <w:num w:numId="11" w16cid:durableId="1387875564">
    <w:abstractNumId w:val="4"/>
  </w:num>
  <w:num w:numId="12" w16cid:durableId="1031690651">
    <w:abstractNumId w:val="0"/>
  </w:num>
  <w:num w:numId="13" w16cid:durableId="148454514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2"/>
    <w:docVar w:name="SWDocIDLocation" w:val="1"/>
  </w:docVars>
  <w:rsids>
    <w:rsidRoot w:val="00774707"/>
    <w:rsid w:val="000001E4"/>
    <w:rsid w:val="000009C0"/>
    <w:rsid w:val="000009C1"/>
    <w:rsid w:val="00000E99"/>
    <w:rsid w:val="0000133A"/>
    <w:rsid w:val="00001CC2"/>
    <w:rsid w:val="00002240"/>
    <w:rsid w:val="00002315"/>
    <w:rsid w:val="00002732"/>
    <w:rsid w:val="00002BEE"/>
    <w:rsid w:val="000047AC"/>
    <w:rsid w:val="000063BE"/>
    <w:rsid w:val="00006DB8"/>
    <w:rsid w:val="00007801"/>
    <w:rsid w:val="00007CA2"/>
    <w:rsid w:val="00010605"/>
    <w:rsid w:val="00011163"/>
    <w:rsid w:val="00011834"/>
    <w:rsid w:val="000118F6"/>
    <w:rsid w:val="00011A9B"/>
    <w:rsid w:val="00011E28"/>
    <w:rsid w:val="000125FF"/>
    <w:rsid w:val="00013090"/>
    <w:rsid w:val="000131F6"/>
    <w:rsid w:val="0001382A"/>
    <w:rsid w:val="0001604E"/>
    <w:rsid w:val="00016D77"/>
    <w:rsid w:val="00016FD1"/>
    <w:rsid w:val="00017010"/>
    <w:rsid w:val="0001747D"/>
    <w:rsid w:val="00017839"/>
    <w:rsid w:val="00020251"/>
    <w:rsid w:val="00020770"/>
    <w:rsid w:val="00023B0D"/>
    <w:rsid w:val="00023BFF"/>
    <w:rsid w:val="00024096"/>
    <w:rsid w:val="000248DA"/>
    <w:rsid w:val="00025025"/>
    <w:rsid w:val="0002502A"/>
    <w:rsid w:val="00025188"/>
    <w:rsid w:val="000256D5"/>
    <w:rsid w:val="00025B22"/>
    <w:rsid w:val="0002603B"/>
    <w:rsid w:val="000265D7"/>
    <w:rsid w:val="000278AA"/>
    <w:rsid w:val="000308E4"/>
    <w:rsid w:val="0003109A"/>
    <w:rsid w:val="00031BC2"/>
    <w:rsid w:val="00032A07"/>
    <w:rsid w:val="00033996"/>
    <w:rsid w:val="00033E2A"/>
    <w:rsid w:val="0003400B"/>
    <w:rsid w:val="0003438D"/>
    <w:rsid w:val="00034C59"/>
    <w:rsid w:val="00034E4E"/>
    <w:rsid w:val="000354A9"/>
    <w:rsid w:val="00035740"/>
    <w:rsid w:val="000357E9"/>
    <w:rsid w:val="00036224"/>
    <w:rsid w:val="000366D3"/>
    <w:rsid w:val="00037503"/>
    <w:rsid w:val="0003751F"/>
    <w:rsid w:val="000410B5"/>
    <w:rsid w:val="000412A8"/>
    <w:rsid w:val="0004211D"/>
    <w:rsid w:val="00042411"/>
    <w:rsid w:val="0004301F"/>
    <w:rsid w:val="00043358"/>
    <w:rsid w:val="00045D4E"/>
    <w:rsid w:val="000462A1"/>
    <w:rsid w:val="000462B4"/>
    <w:rsid w:val="0004654F"/>
    <w:rsid w:val="00046599"/>
    <w:rsid w:val="00047D5C"/>
    <w:rsid w:val="00047E73"/>
    <w:rsid w:val="00050055"/>
    <w:rsid w:val="000512EB"/>
    <w:rsid w:val="00052166"/>
    <w:rsid w:val="0005237D"/>
    <w:rsid w:val="00052931"/>
    <w:rsid w:val="00054314"/>
    <w:rsid w:val="00055264"/>
    <w:rsid w:val="0005539B"/>
    <w:rsid w:val="000554F6"/>
    <w:rsid w:val="00055C92"/>
    <w:rsid w:val="00056447"/>
    <w:rsid w:val="00056695"/>
    <w:rsid w:val="00057DA6"/>
    <w:rsid w:val="0006060C"/>
    <w:rsid w:val="00060DCD"/>
    <w:rsid w:val="00061097"/>
    <w:rsid w:val="0006194D"/>
    <w:rsid w:val="00061BF1"/>
    <w:rsid w:val="00061D5C"/>
    <w:rsid w:val="00062C2E"/>
    <w:rsid w:val="00062F97"/>
    <w:rsid w:val="00065897"/>
    <w:rsid w:val="00066449"/>
    <w:rsid w:val="00070A2D"/>
    <w:rsid w:val="000718EB"/>
    <w:rsid w:val="00071A35"/>
    <w:rsid w:val="0007380B"/>
    <w:rsid w:val="0007388B"/>
    <w:rsid w:val="00073D99"/>
    <w:rsid w:val="000742F4"/>
    <w:rsid w:val="000749CD"/>
    <w:rsid w:val="00074A9D"/>
    <w:rsid w:val="0007541E"/>
    <w:rsid w:val="00075810"/>
    <w:rsid w:val="00075C79"/>
    <w:rsid w:val="000770F6"/>
    <w:rsid w:val="00077DFB"/>
    <w:rsid w:val="00080BA9"/>
    <w:rsid w:val="000811D1"/>
    <w:rsid w:val="000827E8"/>
    <w:rsid w:val="00082FC8"/>
    <w:rsid w:val="00083796"/>
    <w:rsid w:val="00083ED6"/>
    <w:rsid w:val="000841A2"/>
    <w:rsid w:val="000844AE"/>
    <w:rsid w:val="000846F1"/>
    <w:rsid w:val="00084968"/>
    <w:rsid w:val="000856B1"/>
    <w:rsid w:val="000866BD"/>
    <w:rsid w:val="00087AF2"/>
    <w:rsid w:val="000901E5"/>
    <w:rsid w:val="0009028B"/>
    <w:rsid w:val="0009102E"/>
    <w:rsid w:val="0009134D"/>
    <w:rsid w:val="00091DFB"/>
    <w:rsid w:val="00091E84"/>
    <w:rsid w:val="00094551"/>
    <w:rsid w:val="00096C97"/>
    <w:rsid w:val="00096F15"/>
    <w:rsid w:val="000979CB"/>
    <w:rsid w:val="00097A5B"/>
    <w:rsid w:val="000A0A86"/>
    <w:rsid w:val="000A0AE2"/>
    <w:rsid w:val="000A0D6B"/>
    <w:rsid w:val="000A1374"/>
    <w:rsid w:val="000A1A9A"/>
    <w:rsid w:val="000A232D"/>
    <w:rsid w:val="000A236B"/>
    <w:rsid w:val="000A285B"/>
    <w:rsid w:val="000A2D31"/>
    <w:rsid w:val="000A3E40"/>
    <w:rsid w:val="000A3E58"/>
    <w:rsid w:val="000A4878"/>
    <w:rsid w:val="000A4898"/>
    <w:rsid w:val="000A6CE8"/>
    <w:rsid w:val="000A790D"/>
    <w:rsid w:val="000A7C12"/>
    <w:rsid w:val="000A7D05"/>
    <w:rsid w:val="000A7D20"/>
    <w:rsid w:val="000A7E10"/>
    <w:rsid w:val="000B0C41"/>
    <w:rsid w:val="000B0F4E"/>
    <w:rsid w:val="000B17E7"/>
    <w:rsid w:val="000B1DB9"/>
    <w:rsid w:val="000B31A4"/>
    <w:rsid w:val="000B3384"/>
    <w:rsid w:val="000B45F4"/>
    <w:rsid w:val="000B49FB"/>
    <w:rsid w:val="000B4F2E"/>
    <w:rsid w:val="000B5751"/>
    <w:rsid w:val="000B642B"/>
    <w:rsid w:val="000B7D7E"/>
    <w:rsid w:val="000B7F19"/>
    <w:rsid w:val="000C0DA6"/>
    <w:rsid w:val="000C150F"/>
    <w:rsid w:val="000C1827"/>
    <w:rsid w:val="000C2633"/>
    <w:rsid w:val="000C3457"/>
    <w:rsid w:val="000C3603"/>
    <w:rsid w:val="000C3A2D"/>
    <w:rsid w:val="000C3D1E"/>
    <w:rsid w:val="000C4780"/>
    <w:rsid w:val="000C565A"/>
    <w:rsid w:val="000C634C"/>
    <w:rsid w:val="000C6628"/>
    <w:rsid w:val="000C663E"/>
    <w:rsid w:val="000C68AF"/>
    <w:rsid w:val="000C7374"/>
    <w:rsid w:val="000C7EF1"/>
    <w:rsid w:val="000D0E71"/>
    <w:rsid w:val="000D162C"/>
    <w:rsid w:val="000D1B44"/>
    <w:rsid w:val="000D22C7"/>
    <w:rsid w:val="000D25E5"/>
    <w:rsid w:val="000D290C"/>
    <w:rsid w:val="000D294B"/>
    <w:rsid w:val="000D2B07"/>
    <w:rsid w:val="000D339F"/>
    <w:rsid w:val="000D3A4F"/>
    <w:rsid w:val="000D3D6E"/>
    <w:rsid w:val="000D3E6C"/>
    <w:rsid w:val="000D3E6D"/>
    <w:rsid w:val="000D489A"/>
    <w:rsid w:val="000D52F1"/>
    <w:rsid w:val="000D6839"/>
    <w:rsid w:val="000D6905"/>
    <w:rsid w:val="000D7027"/>
    <w:rsid w:val="000D7B8B"/>
    <w:rsid w:val="000E0447"/>
    <w:rsid w:val="000E0CE1"/>
    <w:rsid w:val="000E1A27"/>
    <w:rsid w:val="000E1B53"/>
    <w:rsid w:val="000E2F74"/>
    <w:rsid w:val="000E4828"/>
    <w:rsid w:val="000E4B89"/>
    <w:rsid w:val="000E5C14"/>
    <w:rsid w:val="000F05CB"/>
    <w:rsid w:val="000F1E02"/>
    <w:rsid w:val="000F20CE"/>
    <w:rsid w:val="000F2684"/>
    <w:rsid w:val="000F2930"/>
    <w:rsid w:val="000F3AE1"/>
    <w:rsid w:val="000F3F4D"/>
    <w:rsid w:val="000F4329"/>
    <w:rsid w:val="000F4445"/>
    <w:rsid w:val="000F4AC2"/>
    <w:rsid w:val="000F4C3B"/>
    <w:rsid w:val="000F4CAB"/>
    <w:rsid w:val="000F5084"/>
    <w:rsid w:val="000F5BA9"/>
    <w:rsid w:val="000F64E4"/>
    <w:rsid w:val="000F6653"/>
    <w:rsid w:val="000F685C"/>
    <w:rsid w:val="000F6A2C"/>
    <w:rsid w:val="000F708A"/>
    <w:rsid w:val="000F7834"/>
    <w:rsid w:val="000F7876"/>
    <w:rsid w:val="001011BA"/>
    <w:rsid w:val="00102105"/>
    <w:rsid w:val="00104F94"/>
    <w:rsid w:val="001054F6"/>
    <w:rsid w:val="00105843"/>
    <w:rsid w:val="001060C3"/>
    <w:rsid w:val="00106D39"/>
    <w:rsid w:val="00107E79"/>
    <w:rsid w:val="001101B2"/>
    <w:rsid w:val="00111164"/>
    <w:rsid w:val="001116CF"/>
    <w:rsid w:val="00111CD7"/>
    <w:rsid w:val="0011268E"/>
    <w:rsid w:val="00113545"/>
    <w:rsid w:val="00113A12"/>
    <w:rsid w:val="00113A20"/>
    <w:rsid w:val="00113C75"/>
    <w:rsid w:val="001140CD"/>
    <w:rsid w:val="00114428"/>
    <w:rsid w:val="00114AB5"/>
    <w:rsid w:val="00114E3B"/>
    <w:rsid w:val="001151A8"/>
    <w:rsid w:val="0011589D"/>
    <w:rsid w:val="00116036"/>
    <w:rsid w:val="00116CB0"/>
    <w:rsid w:val="00116ED4"/>
    <w:rsid w:val="00117890"/>
    <w:rsid w:val="0012043C"/>
    <w:rsid w:val="00120D87"/>
    <w:rsid w:val="00122A96"/>
    <w:rsid w:val="00123B76"/>
    <w:rsid w:val="00124448"/>
    <w:rsid w:val="001247F0"/>
    <w:rsid w:val="001248BC"/>
    <w:rsid w:val="00124B08"/>
    <w:rsid w:val="00124B7D"/>
    <w:rsid w:val="00124DF0"/>
    <w:rsid w:val="0012671F"/>
    <w:rsid w:val="00126A99"/>
    <w:rsid w:val="00126C8F"/>
    <w:rsid w:val="00127144"/>
    <w:rsid w:val="001274F1"/>
    <w:rsid w:val="00127995"/>
    <w:rsid w:val="00127C8A"/>
    <w:rsid w:val="00127EC5"/>
    <w:rsid w:val="00130AC5"/>
    <w:rsid w:val="00130BB0"/>
    <w:rsid w:val="00131BC8"/>
    <w:rsid w:val="00133360"/>
    <w:rsid w:val="0013415B"/>
    <w:rsid w:val="00135850"/>
    <w:rsid w:val="00135E22"/>
    <w:rsid w:val="0013628A"/>
    <w:rsid w:val="00136562"/>
    <w:rsid w:val="001366B3"/>
    <w:rsid w:val="00137A9A"/>
    <w:rsid w:val="00137B13"/>
    <w:rsid w:val="00140296"/>
    <w:rsid w:val="00141336"/>
    <w:rsid w:val="00141760"/>
    <w:rsid w:val="00141AAD"/>
    <w:rsid w:val="0014201C"/>
    <w:rsid w:val="0014266A"/>
    <w:rsid w:val="00143B83"/>
    <w:rsid w:val="00144455"/>
    <w:rsid w:val="00144761"/>
    <w:rsid w:val="00144F6D"/>
    <w:rsid w:val="001473A7"/>
    <w:rsid w:val="00147880"/>
    <w:rsid w:val="00147E75"/>
    <w:rsid w:val="00150630"/>
    <w:rsid w:val="00151E64"/>
    <w:rsid w:val="00153E12"/>
    <w:rsid w:val="001549CE"/>
    <w:rsid w:val="00155F56"/>
    <w:rsid w:val="001564F3"/>
    <w:rsid w:val="0015651A"/>
    <w:rsid w:val="001573D2"/>
    <w:rsid w:val="0016050A"/>
    <w:rsid w:val="00160E46"/>
    <w:rsid w:val="00161546"/>
    <w:rsid w:val="00161969"/>
    <w:rsid w:val="00162809"/>
    <w:rsid w:val="00163710"/>
    <w:rsid w:val="00163BE7"/>
    <w:rsid w:val="00164564"/>
    <w:rsid w:val="00164D33"/>
    <w:rsid w:val="00164EE4"/>
    <w:rsid w:val="0016513A"/>
    <w:rsid w:val="00165284"/>
    <w:rsid w:val="00165DB7"/>
    <w:rsid w:val="0016620A"/>
    <w:rsid w:val="00166657"/>
    <w:rsid w:val="001666B3"/>
    <w:rsid w:val="00166B86"/>
    <w:rsid w:val="001673D9"/>
    <w:rsid w:val="00167879"/>
    <w:rsid w:val="00167FFB"/>
    <w:rsid w:val="00170248"/>
    <w:rsid w:val="001703E7"/>
    <w:rsid w:val="00170533"/>
    <w:rsid w:val="001732C5"/>
    <w:rsid w:val="001749BC"/>
    <w:rsid w:val="00175503"/>
    <w:rsid w:val="0017557A"/>
    <w:rsid w:val="001758CA"/>
    <w:rsid w:val="00176438"/>
    <w:rsid w:val="001774F2"/>
    <w:rsid w:val="00180CFF"/>
    <w:rsid w:val="001816B4"/>
    <w:rsid w:val="001817A5"/>
    <w:rsid w:val="001817EB"/>
    <w:rsid w:val="00181A2C"/>
    <w:rsid w:val="00181C6D"/>
    <w:rsid w:val="00183137"/>
    <w:rsid w:val="0018396A"/>
    <w:rsid w:val="00184667"/>
    <w:rsid w:val="00185655"/>
    <w:rsid w:val="001859E3"/>
    <w:rsid w:val="00185DE4"/>
    <w:rsid w:val="00185F5C"/>
    <w:rsid w:val="00186084"/>
    <w:rsid w:val="00186A45"/>
    <w:rsid w:val="00186BA2"/>
    <w:rsid w:val="00186C42"/>
    <w:rsid w:val="00186DE7"/>
    <w:rsid w:val="00187357"/>
    <w:rsid w:val="00187588"/>
    <w:rsid w:val="0019008D"/>
    <w:rsid w:val="00190191"/>
    <w:rsid w:val="001904E7"/>
    <w:rsid w:val="00190B68"/>
    <w:rsid w:val="00190DD0"/>
    <w:rsid w:val="00191549"/>
    <w:rsid w:val="001916BE"/>
    <w:rsid w:val="00191A80"/>
    <w:rsid w:val="00192AA8"/>
    <w:rsid w:val="00192ADA"/>
    <w:rsid w:val="00193636"/>
    <w:rsid w:val="00193791"/>
    <w:rsid w:val="001942B8"/>
    <w:rsid w:val="001946DB"/>
    <w:rsid w:val="00194D13"/>
    <w:rsid w:val="00195610"/>
    <w:rsid w:val="0019564D"/>
    <w:rsid w:val="00196861"/>
    <w:rsid w:val="00196AAE"/>
    <w:rsid w:val="0019727C"/>
    <w:rsid w:val="00197562"/>
    <w:rsid w:val="001977A1"/>
    <w:rsid w:val="00197BD0"/>
    <w:rsid w:val="001A0312"/>
    <w:rsid w:val="001A1704"/>
    <w:rsid w:val="001A1C0F"/>
    <w:rsid w:val="001A1C7D"/>
    <w:rsid w:val="001A27CE"/>
    <w:rsid w:val="001A32F4"/>
    <w:rsid w:val="001A43E4"/>
    <w:rsid w:val="001A554F"/>
    <w:rsid w:val="001A5A34"/>
    <w:rsid w:val="001A6282"/>
    <w:rsid w:val="001A7297"/>
    <w:rsid w:val="001A737A"/>
    <w:rsid w:val="001A7546"/>
    <w:rsid w:val="001B07FA"/>
    <w:rsid w:val="001B0C05"/>
    <w:rsid w:val="001B10D2"/>
    <w:rsid w:val="001B1DD1"/>
    <w:rsid w:val="001B3C38"/>
    <w:rsid w:val="001B3DD9"/>
    <w:rsid w:val="001B4816"/>
    <w:rsid w:val="001B4A03"/>
    <w:rsid w:val="001B4A88"/>
    <w:rsid w:val="001B4BF2"/>
    <w:rsid w:val="001B4E64"/>
    <w:rsid w:val="001B530C"/>
    <w:rsid w:val="001B53E1"/>
    <w:rsid w:val="001B5514"/>
    <w:rsid w:val="001B73F1"/>
    <w:rsid w:val="001B75B9"/>
    <w:rsid w:val="001C0AC5"/>
    <w:rsid w:val="001C11C3"/>
    <w:rsid w:val="001C1A9D"/>
    <w:rsid w:val="001C2A4D"/>
    <w:rsid w:val="001C3FC7"/>
    <w:rsid w:val="001C430F"/>
    <w:rsid w:val="001C5B52"/>
    <w:rsid w:val="001C5C61"/>
    <w:rsid w:val="001C63FA"/>
    <w:rsid w:val="001C6585"/>
    <w:rsid w:val="001C6C2E"/>
    <w:rsid w:val="001C75D2"/>
    <w:rsid w:val="001D1440"/>
    <w:rsid w:val="001D1F9E"/>
    <w:rsid w:val="001D2127"/>
    <w:rsid w:val="001D2C0D"/>
    <w:rsid w:val="001D3D15"/>
    <w:rsid w:val="001D4479"/>
    <w:rsid w:val="001D44BE"/>
    <w:rsid w:val="001D4AB8"/>
    <w:rsid w:val="001D5144"/>
    <w:rsid w:val="001D68D0"/>
    <w:rsid w:val="001D6F4A"/>
    <w:rsid w:val="001D6FA5"/>
    <w:rsid w:val="001E0028"/>
    <w:rsid w:val="001E00AB"/>
    <w:rsid w:val="001E04B6"/>
    <w:rsid w:val="001E0B97"/>
    <w:rsid w:val="001E2A2D"/>
    <w:rsid w:val="001E2B76"/>
    <w:rsid w:val="001E4E77"/>
    <w:rsid w:val="001E4E8E"/>
    <w:rsid w:val="001E50B3"/>
    <w:rsid w:val="001E5AB8"/>
    <w:rsid w:val="001E6F55"/>
    <w:rsid w:val="001E72C7"/>
    <w:rsid w:val="001F0442"/>
    <w:rsid w:val="001F054D"/>
    <w:rsid w:val="001F1DF3"/>
    <w:rsid w:val="001F353A"/>
    <w:rsid w:val="001F4190"/>
    <w:rsid w:val="001F45B1"/>
    <w:rsid w:val="001F6012"/>
    <w:rsid w:val="001F6524"/>
    <w:rsid w:val="001F71BD"/>
    <w:rsid w:val="001F728B"/>
    <w:rsid w:val="00201E79"/>
    <w:rsid w:val="00202185"/>
    <w:rsid w:val="00202C30"/>
    <w:rsid w:val="00203C80"/>
    <w:rsid w:val="0020504E"/>
    <w:rsid w:val="002050A5"/>
    <w:rsid w:val="002065DD"/>
    <w:rsid w:val="00206BC9"/>
    <w:rsid w:val="00210299"/>
    <w:rsid w:val="002102A2"/>
    <w:rsid w:val="00211BC6"/>
    <w:rsid w:val="00213A6D"/>
    <w:rsid w:val="00214937"/>
    <w:rsid w:val="0021516E"/>
    <w:rsid w:val="00215193"/>
    <w:rsid w:val="0021594C"/>
    <w:rsid w:val="00215CC9"/>
    <w:rsid w:val="00215EBC"/>
    <w:rsid w:val="0021685E"/>
    <w:rsid w:val="00216BDC"/>
    <w:rsid w:val="002173BD"/>
    <w:rsid w:val="002177AA"/>
    <w:rsid w:val="00220649"/>
    <w:rsid w:val="00220FED"/>
    <w:rsid w:val="002213BC"/>
    <w:rsid w:val="00222937"/>
    <w:rsid w:val="00222C2F"/>
    <w:rsid w:val="00225111"/>
    <w:rsid w:val="00225B20"/>
    <w:rsid w:val="002262DE"/>
    <w:rsid w:val="002262FF"/>
    <w:rsid w:val="002267DF"/>
    <w:rsid w:val="00227FAC"/>
    <w:rsid w:val="002312B9"/>
    <w:rsid w:val="002313B5"/>
    <w:rsid w:val="00232ABB"/>
    <w:rsid w:val="00232F5A"/>
    <w:rsid w:val="00233447"/>
    <w:rsid w:val="002336C3"/>
    <w:rsid w:val="0023466B"/>
    <w:rsid w:val="00234EAB"/>
    <w:rsid w:val="002351BD"/>
    <w:rsid w:val="002352B5"/>
    <w:rsid w:val="002360C5"/>
    <w:rsid w:val="00236312"/>
    <w:rsid w:val="00241C29"/>
    <w:rsid w:val="00242775"/>
    <w:rsid w:val="0024296A"/>
    <w:rsid w:val="00242FA7"/>
    <w:rsid w:val="00243831"/>
    <w:rsid w:val="002449D5"/>
    <w:rsid w:val="0024524F"/>
    <w:rsid w:val="00245771"/>
    <w:rsid w:val="00246679"/>
    <w:rsid w:val="00246B02"/>
    <w:rsid w:val="0025011A"/>
    <w:rsid w:val="00250F5C"/>
    <w:rsid w:val="0025157A"/>
    <w:rsid w:val="00251E74"/>
    <w:rsid w:val="00252603"/>
    <w:rsid w:val="00252875"/>
    <w:rsid w:val="0025315E"/>
    <w:rsid w:val="00253BE0"/>
    <w:rsid w:val="00253E90"/>
    <w:rsid w:val="00254453"/>
    <w:rsid w:val="00254AE3"/>
    <w:rsid w:val="002554BD"/>
    <w:rsid w:val="00255697"/>
    <w:rsid w:val="00255D2D"/>
    <w:rsid w:val="002568E0"/>
    <w:rsid w:val="00256B49"/>
    <w:rsid w:val="00256C24"/>
    <w:rsid w:val="00256DC4"/>
    <w:rsid w:val="00257787"/>
    <w:rsid w:val="0026056E"/>
    <w:rsid w:val="002607FB"/>
    <w:rsid w:val="00261136"/>
    <w:rsid w:val="002618F1"/>
    <w:rsid w:val="00261C04"/>
    <w:rsid w:val="00262C67"/>
    <w:rsid w:val="00263509"/>
    <w:rsid w:val="00263CEB"/>
    <w:rsid w:val="00263F6E"/>
    <w:rsid w:val="00264608"/>
    <w:rsid w:val="00264692"/>
    <w:rsid w:val="00264952"/>
    <w:rsid w:val="002662CD"/>
    <w:rsid w:val="00266921"/>
    <w:rsid w:val="00270318"/>
    <w:rsid w:val="00271017"/>
    <w:rsid w:val="002710B4"/>
    <w:rsid w:val="002719E1"/>
    <w:rsid w:val="0027290C"/>
    <w:rsid w:val="00273CE3"/>
    <w:rsid w:val="00274499"/>
    <w:rsid w:val="00274B9B"/>
    <w:rsid w:val="00274E47"/>
    <w:rsid w:val="0027505F"/>
    <w:rsid w:val="0027510A"/>
    <w:rsid w:val="0027547B"/>
    <w:rsid w:val="002754CE"/>
    <w:rsid w:val="002757D8"/>
    <w:rsid w:val="00277807"/>
    <w:rsid w:val="00277E4C"/>
    <w:rsid w:val="0028142F"/>
    <w:rsid w:val="00281B90"/>
    <w:rsid w:val="0028201D"/>
    <w:rsid w:val="00282387"/>
    <w:rsid w:val="00282611"/>
    <w:rsid w:val="002829A1"/>
    <w:rsid w:val="00283501"/>
    <w:rsid w:val="002841AB"/>
    <w:rsid w:val="00284638"/>
    <w:rsid w:val="00284746"/>
    <w:rsid w:val="002847D0"/>
    <w:rsid w:val="0028491C"/>
    <w:rsid w:val="002850AC"/>
    <w:rsid w:val="0028515E"/>
    <w:rsid w:val="002859FA"/>
    <w:rsid w:val="0028686B"/>
    <w:rsid w:val="00287AD2"/>
    <w:rsid w:val="002905B1"/>
    <w:rsid w:val="00290DA2"/>
    <w:rsid w:val="00291C16"/>
    <w:rsid w:val="00291CFE"/>
    <w:rsid w:val="00292896"/>
    <w:rsid w:val="00292D7E"/>
    <w:rsid w:val="00292EF6"/>
    <w:rsid w:val="002930D4"/>
    <w:rsid w:val="002940E0"/>
    <w:rsid w:val="0029412F"/>
    <w:rsid w:val="00294AC4"/>
    <w:rsid w:val="00294B06"/>
    <w:rsid w:val="00294E40"/>
    <w:rsid w:val="00295D01"/>
    <w:rsid w:val="00295EE9"/>
    <w:rsid w:val="00296427"/>
    <w:rsid w:val="002969FA"/>
    <w:rsid w:val="00297036"/>
    <w:rsid w:val="002A10EF"/>
    <w:rsid w:val="002A11C9"/>
    <w:rsid w:val="002A245B"/>
    <w:rsid w:val="002A24C4"/>
    <w:rsid w:val="002A25E4"/>
    <w:rsid w:val="002A265C"/>
    <w:rsid w:val="002A2C8E"/>
    <w:rsid w:val="002A31A2"/>
    <w:rsid w:val="002A35C2"/>
    <w:rsid w:val="002A42AF"/>
    <w:rsid w:val="002A48CD"/>
    <w:rsid w:val="002A545F"/>
    <w:rsid w:val="002A6E5A"/>
    <w:rsid w:val="002B07EA"/>
    <w:rsid w:val="002B0A7D"/>
    <w:rsid w:val="002B0C2A"/>
    <w:rsid w:val="002B0FAD"/>
    <w:rsid w:val="002B28E0"/>
    <w:rsid w:val="002B3186"/>
    <w:rsid w:val="002B577A"/>
    <w:rsid w:val="002B57F8"/>
    <w:rsid w:val="002B68CA"/>
    <w:rsid w:val="002B6F77"/>
    <w:rsid w:val="002C03A0"/>
    <w:rsid w:val="002C0544"/>
    <w:rsid w:val="002C0821"/>
    <w:rsid w:val="002C0CD9"/>
    <w:rsid w:val="002C0F40"/>
    <w:rsid w:val="002C144E"/>
    <w:rsid w:val="002C14E8"/>
    <w:rsid w:val="002C1548"/>
    <w:rsid w:val="002C2EC2"/>
    <w:rsid w:val="002C37E7"/>
    <w:rsid w:val="002C3BA8"/>
    <w:rsid w:val="002C4ACE"/>
    <w:rsid w:val="002C5FAC"/>
    <w:rsid w:val="002C651E"/>
    <w:rsid w:val="002D023B"/>
    <w:rsid w:val="002D0F89"/>
    <w:rsid w:val="002D1177"/>
    <w:rsid w:val="002D1881"/>
    <w:rsid w:val="002D1CE4"/>
    <w:rsid w:val="002D1D3E"/>
    <w:rsid w:val="002D3148"/>
    <w:rsid w:val="002D4469"/>
    <w:rsid w:val="002D47F1"/>
    <w:rsid w:val="002D4B1A"/>
    <w:rsid w:val="002D5A26"/>
    <w:rsid w:val="002D5EB8"/>
    <w:rsid w:val="002D6048"/>
    <w:rsid w:val="002D78B8"/>
    <w:rsid w:val="002E12BC"/>
    <w:rsid w:val="002E1949"/>
    <w:rsid w:val="002E23AC"/>
    <w:rsid w:val="002E3E3A"/>
    <w:rsid w:val="002E47F6"/>
    <w:rsid w:val="002E49D8"/>
    <w:rsid w:val="002E4FFA"/>
    <w:rsid w:val="002E5070"/>
    <w:rsid w:val="002E5362"/>
    <w:rsid w:val="002E5D67"/>
    <w:rsid w:val="002E5E85"/>
    <w:rsid w:val="002E5F37"/>
    <w:rsid w:val="002E6520"/>
    <w:rsid w:val="002E6551"/>
    <w:rsid w:val="002E69AD"/>
    <w:rsid w:val="002E7597"/>
    <w:rsid w:val="002E7EA7"/>
    <w:rsid w:val="002F0D73"/>
    <w:rsid w:val="002F0FB5"/>
    <w:rsid w:val="002F173E"/>
    <w:rsid w:val="002F24E3"/>
    <w:rsid w:val="002F35A6"/>
    <w:rsid w:val="002F3D40"/>
    <w:rsid w:val="002F454F"/>
    <w:rsid w:val="002F4663"/>
    <w:rsid w:val="002F466D"/>
    <w:rsid w:val="002F4EC3"/>
    <w:rsid w:val="002F5A16"/>
    <w:rsid w:val="002F5C81"/>
    <w:rsid w:val="002F6732"/>
    <w:rsid w:val="002F6763"/>
    <w:rsid w:val="002F6E99"/>
    <w:rsid w:val="002F7101"/>
    <w:rsid w:val="002F79FD"/>
    <w:rsid w:val="002F7FD2"/>
    <w:rsid w:val="00300208"/>
    <w:rsid w:val="00300B41"/>
    <w:rsid w:val="00302260"/>
    <w:rsid w:val="003032F6"/>
    <w:rsid w:val="00303738"/>
    <w:rsid w:val="0030398D"/>
    <w:rsid w:val="00303AB6"/>
    <w:rsid w:val="00303C6C"/>
    <w:rsid w:val="00304CBA"/>
    <w:rsid w:val="003053DE"/>
    <w:rsid w:val="00305907"/>
    <w:rsid w:val="00305CB1"/>
    <w:rsid w:val="00306A6E"/>
    <w:rsid w:val="00306B6C"/>
    <w:rsid w:val="0030715C"/>
    <w:rsid w:val="0030752F"/>
    <w:rsid w:val="00307678"/>
    <w:rsid w:val="003100B4"/>
    <w:rsid w:val="0031041B"/>
    <w:rsid w:val="00310842"/>
    <w:rsid w:val="003123C8"/>
    <w:rsid w:val="00312B0C"/>
    <w:rsid w:val="003134DA"/>
    <w:rsid w:val="0031395D"/>
    <w:rsid w:val="003140CD"/>
    <w:rsid w:val="0031419E"/>
    <w:rsid w:val="00314363"/>
    <w:rsid w:val="00314AA4"/>
    <w:rsid w:val="00315314"/>
    <w:rsid w:val="003155E9"/>
    <w:rsid w:val="003159D4"/>
    <w:rsid w:val="00315C7C"/>
    <w:rsid w:val="00315D28"/>
    <w:rsid w:val="0031619C"/>
    <w:rsid w:val="00316340"/>
    <w:rsid w:val="003169C8"/>
    <w:rsid w:val="00316C75"/>
    <w:rsid w:val="0031730D"/>
    <w:rsid w:val="00317BA3"/>
    <w:rsid w:val="003205AA"/>
    <w:rsid w:val="00320D87"/>
    <w:rsid w:val="003216AD"/>
    <w:rsid w:val="00321ED3"/>
    <w:rsid w:val="0032229E"/>
    <w:rsid w:val="00322637"/>
    <w:rsid w:val="00322E43"/>
    <w:rsid w:val="00323B6E"/>
    <w:rsid w:val="003242F9"/>
    <w:rsid w:val="003245BA"/>
    <w:rsid w:val="00324A7C"/>
    <w:rsid w:val="00324AA3"/>
    <w:rsid w:val="00324BB1"/>
    <w:rsid w:val="003251A4"/>
    <w:rsid w:val="00325C7F"/>
    <w:rsid w:val="0032600E"/>
    <w:rsid w:val="0032644E"/>
    <w:rsid w:val="0032659E"/>
    <w:rsid w:val="0032671C"/>
    <w:rsid w:val="003274E8"/>
    <w:rsid w:val="00330101"/>
    <w:rsid w:val="00331BDF"/>
    <w:rsid w:val="00331CEF"/>
    <w:rsid w:val="00331DD2"/>
    <w:rsid w:val="003335B5"/>
    <w:rsid w:val="00333D67"/>
    <w:rsid w:val="003343E9"/>
    <w:rsid w:val="0033497A"/>
    <w:rsid w:val="00335210"/>
    <w:rsid w:val="00335AC5"/>
    <w:rsid w:val="0033624A"/>
    <w:rsid w:val="00337353"/>
    <w:rsid w:val="00340218"/>
    <w:rsid w:val="00340D1B"/>
    <w:rsid w:val="003413AC"/>
    <w:rsid w:val="00341D80"/>
    <w:rsid w:val="003424BA"/>
    <w:rsid w:val="0034307F"/>
    <w:rsid w:val="0034316E"/>
    <w:rsid w:val="00343998"/>
    <w:rsid w:val="00343BCC"/>
    <w:rsid w:val="00343CB8"/>
    <w:rsid w:val="0034402B"/>
    <w:rsid w:val="0034544F"/>
    <w:rsid w:val="003454DA"/>
    <w:rsid w:val="00345CF7"/>
    <w:rsid w:val="00345DC2"/>
    <w:rsid w:val="00347620"/>
    <w:rsid w:val="00347D4B"/>
    <w:rsid w:val="00350944"/>
    <w:rsid w:val="00351677"/>
    <w:rsid w:val="00353867"/>
    <w:rsid w:val="00353BDB"/>
    <w:rsid w:val="00354CA5"/>
    <w:rsid w:val="0035506B"/>
    <w:rsid w:val="00356E6E"/>
    <w:rsid w:val="003603EB"/>
    <w:rsid w:val="003615C5"/>
    <w:rsid w:val="0036167A"/>
    <w:rsid w:val="00362860"/>
    <w:rsid w:val="00362F09"/>
    <w:rsid w:val="00363ADF"/>
    <w:rsid w:val="00363D6D"/>
    <w:rsid w:val="00364057"/>
    <w:rsid w:val="00364954"/>
    <w:rsid w:val="00365B19"/>
    <w:rsid w:val="003665D8"/>
    <w:rsid w:val="003665F5"/>
    <w:rsid w:val="00366B69"/>
    <w:rsid w:val="00366E1C"/>
    <w:rsid w:val="00366F99"/>
    <w:rsid w:val="0036711B"/>
    <w:rsid w:val="00367686"/>
    <w:rsid w:val="00370F34"/>
    <w:rsid w:val="00371E0F"/>
    <w:rsid w:val="00372CAA"/>
    <w:rsid w:val="0037367A"/>
    <w:rsid w:val="00374B13"/>
    <w:rsid w:val="00374D91"/>
    <w:rsid w:val="00375BB3"/>
    <w:rsid w:val="003761C3"/>
    <w:rsid w:val="00376AD7"/>
    <w:rsid w:val="003801D9"/>
    <w:rsid w:val="003806D5"/>
    <w:rsid w:val="00380CB8"/>
    <w:rsid w:val="003814ED"/>
    <w:rsid w:val="003837D0"/>
    <w:rsid w:val="003843C6"/>
    <w:rsid w:val="003854C4"/>
    <w:rsid w:val="00385A62"/>
    <w:rsid w:val="00385A75"/>
    <w:rsid w:val="00385F82"/>
    <w:rsid w:val="00386354"/>
    <w:rsid w:val="003867C2"/>
    <w:rsid w:val="0038772E"/>
    <w:rsid w:val="00387FA8"/>
    <w:rsid w:val="00390855"/>
    <w:rsid w:val="00390CE9"/>
    <w:rsid w:val="00390D92"/>
    <w:rsid w:val="00391331"/>
    <w:rsid w:val="003923FE"/>
    <w:rsid w:val="00392C8E"/>
    <w:rsid w:val="00393049"/>
    <w:rsid w:val="00393AA7"/>
    <w:rsid w:val="00394432"/>
    <w:rsid w:val="003952F7"/>
    <w:rsid w:val="00396108"/>
    <w:rsid w:val="003968E4"/>
    <w:rsid w:val="00396EE9"/>
    <w:rsid w:val="00397028"/>
    <w:rsid w:val="00397AFE"/>
    <w:rsid w:val="00397EFF"/>
    <w:rsid w:val="003A00B0"/>
    <w:rsid w:val="003A061F"/>
    <w:rsid w:val="003A0E7C"/>
    <w:rsid w:val="003A1B1D"/>
    <w:rsid w:val="003A1C26"/>
    <w:rsid w:val="003A1E1E"/>
    <w:rsid w:val="003A20B1"/>
    <w:rsid w:val="003A258B"/>
    <w:rsid w:val="003A2FAE"/>
    <w:rsid w:val="003A305C"/>
    <w:rsid w:val="003A43ED"/>
    <w:rsid w:val="003A4674"/>
    <w:rsid w:val="003A49AC"/>
    <w:rsid w:val="003A4D20"/>
    <w:rsid w:val="003A4D6E"/>
    <w:rsid w:val="003A5872"/>
    <w:rsid w:val="003A6038"/>
    <w:rsid w:val="003A6179"/>
    <w:rsid w:val="003A6C8C"/>
    <w:rsid w:val="003A7909"/>
    <w:rsid w:val="003A7B48"/>
    <w:rsid w:val="003B06F8"/>
    <w:rsid w:val="003B0DFC"/>
    <w:rsid w:val="003B13C6"/>
    <w:rsid w:val="003B18C6"/>
    <w:rsid w:val="003B19A6"/>
    <w:rsid w:val="003B20AF"/>
    <w:rsid w:val="003B315E"/>
    <w:rsid w:val="003B4181"/>
    <w:rsid w:val="003B4263"/>
    <w:rsid w:val="003B4DE7"/>
    <w:rsid w:val="003B531E"/>
    <w:rsid w:val="003B6571"/>
    <w:rsid w:val="003B71A2"/>
    <w:rsid w:val="003B7CB0"/>
    <w:rsid w:val="003C0FC2"/>
    <w:rsid w:val="003C11BD"/>
    <w:rsid w:val="003C17F0"/>
    <w:rsid w:val="003C1967"/>
    <w:rsid w:val="003C1AD9"/>
    <w:rsid w:val="003C1EA3"/>
    <w:rsid w:val="003C1EED"/>
    <w:rsid w:val="003C1FB3"/>
    <w:rsid w:val="003C229B"/>
    <w:rsid w:val="003C2597"/>
    <w:rsid w:val="003C25DB"/>
    <w:rsid w:val="003C28C1"/>
    <w:rsid w:val="003C3B01"/>
    <w:rsid w:val="003C4325"/>
    <w:rsid w:val="003C4440"/>
    <w:rsid w:val="003C4E41"/>
    <w:rsid w:val="003C4F97"/>
    <w:rsid w:val="003C5A1B"/>
    <w:rsid w:val="003C5B74"/>
    <w:rsid w:val="003C6B8D"/>
    <w:rsid w:val="003C6BFF"/>
    <w:rsid w:val="003C7125"/>
    <w:rsid w:val="003C7ED3"/>
    <w:rsid w:val="003D2378"/>
    <w:rsid w:val="003D285C"/>
    <w:rsid w:val="003D3002"/>
    <w:rsid w:val="003D39DE"/>
    <w:rsid w:val="003D3E1C"/>
    <w:rsid w:val="003D454E"/>
    <w:rsid w:val="003D6871"/>
    <w:rsid w:val="003D6CCD"/>
    <w:rsid w:val="003D6EA7"/>
    <w:rsid w:val="003E0E16"/>
    <w:rsid w:val="003E129C"/>
    <w:rsid w:val="003E14B2"/>
    <w:rsid w:val="003E32AD"/>
    <w:rsid w:val="003E4712"/>
    <w:rsid w:val="003E4851"/>
    <w:rsid w:val="003E4A2B"/>
    <w:rsid w:val="003E4BAC"/>
    <w:rsid w:val="003E4EF4"/>
    <w:rsid w:val="003E508C"/>
    <w:rsid w:val="003E6117"/>
    <w:rsid w:val="003F05B1"/>
    <w:rsid w:val="003F0867"/>
    <w:rsid w:val="003F1C80"/>
    <w:rsid w:val="003F1CC9"/>
    <w:rsid w:val="003F2370"/>
    <w:rsid w:val="003F2BE6"/>
    <w:rsid w:val="003F3060"/>
    <w:rsid w:val="003F40AF"/>
    <w:rsid w:val="003F4FCF"/>
    <w:rsid w:val="003F500F"/>
    <w:rsid w:val="003F5B5E"/>
    <w:rsid w:val="003F5CBB"/>
    <w:rsid w:val="003F608D"/>
    <w:rsid w:val="003F63A4"/>
    <w:rsid w:val="003F69DF"/>
    <w:rsid w:val="003F6A50"/>
    <w:rsid w:val="003F6FFA"/>
    <w:rsid w:val="003F7C48"/>
    <w:rsid w:val="00400FEA"/>
    <w:rsid w:val="004015B5"/>
    <w:rsid w:val="00401DE6"/>
    <w:rsid w:val="00402071"/>
    <w:rsid w:val="0040396C"/>
    <w:rsid w:val="00403F1C"/>
    <w:rsid w:val="00404A28"/>
    <w:rsid w:val="00410322"/>
    <w:rsid w:val="004104EA"/>
    <w:rsid w:val="004105CB"/>
    <w:rsid w:val="00411017"/>
    <w:rsid w:val="004111F8"/>
    <w:rsid w:val="004113EF"/>
    <w:rsid w:val="004113FA"/>
    <w:rsid w:val="00411C83"/>
    <w:rsid w:val="0041318C"/>
    <w:rsid w:val="00413A6A"/>
    <w:rsid w:val="00413AF0"/>
    <w:rsid w:val="00413F50"/>
    <w:rsid w:val="00415268"/>
    <w:rsid w:val="00415440"/>
    <w:rsid w:val="0041622D"/>
    <w:rsid w:val="004167E0"/>
    <w:rsid w:val="00416C0B"/>
    <w:rsid w:val="00416FCE"/>
    <w:rsid w:val="0041766C"/>
    <w:rsid w:val="00417938"/>
    <w:rsid w:val="004210C3"/>
    <w:rsid w:val="004210FA"/>
    <w:rsid w:val="00421C17"/>
    <w:rsid w:val="004228E7"/>
    <w:rsid w:val="0042365F"/>
    <w:rsid w:val="00424763"/>
    <w:rsid w:val="0042532C"/>
    <w:rsid w:val="004257FA"/>
    <w:rsid w:val="00425908"/>
    <w:rsid w:val="00426A1C"/>
    <w:rsid w:val="004270D1"/>
    <w:rsid w:val="00431355"/>
    <w:rsid w:val="00431C76"/>
    <w:rsid w:val="004323C4"/>
    <w:rsid w:val="004323FC"/>
    <w:rsid w:val="00432F40"/>
    <w:rsid w:val="00433B5B"/>
    <w:rsid w:val="0043445E"/>
    <w:rsid w:val="0043499A"/>
    <w:rsid w:val="004354A1"/>
    <w:rsid w:val="0043551D"/>
    <w:rsid w:val="00435B4B"/>
    <w:rsid w:val="00435D25"/>
    <w:rsid w:val="004363C9"/>
    <w:rsid w:val="00436BE6"/>
    <w:rsid w:val="004371ED"/>
    <w:rsid w:val="00437A0D"/>
    <w:rsid w:val="00437B5C"/>
    <w:rsid w:val="00437CFA"/>
    <w:rsid w:val="004400DB"/>
    <w:rsid w:val="00442270"/>
    <w:rsid w:val="00442284"/>
    <w:rsid w:val="0044355C"/>
    <w:rsid w:val="00443855"/>
    <w:rsid w:val="0044443A"/>
    <w:rsid w:val="004459B3"/>
    <w:rsid w:val="00445F3D"/>
    <w:rsid w:val="00445FD9"/>
    <w:rsid w:val="004503D3"/>
    <w:rsid w:val="004504CB"/>
    <w:rsid w:val="0045160B"/>
    <w:rsid w:val="00451A39"/>
    <w:rsid w:val="00452325"/>
    <w:rsid w:val="00452AAB"/>
    <w:rsid w:val="00452CB2"/>
    <w:rsid w:val="00452DBB"/>
    <w:rsid w:val="00452F40"/>
    <w:rsid w:val="0045525E"/>
    <w:rsid w:val="00455C3C"/>
    <w:rsid w:val="00456E4C"/>
    <w:rsid w:val="004570AF"/>
    <w:rsid w:val="00457B1C"/>
    <w:rsid w:val="004605AF"/>
    <w:rsid w:val="00460882"/>
    <w:rsid w:val="00461B5B"/>
    <w:rsid w:val="004630CA"/>
    <w:rsid w:val="0046490F"/>
    <w:rsid w:val="00464F7C"/>
    <w:rsid w:val="0046581F"/>
    <w:rsid w:val="00465C1A"/>
    <w:rsid w:val="00465DDD"/>
    <w:rsid w:val="00465E0E"/>
    <w:rsid w:val="00466128"/>
    <w:rsid w:val="0046618A"/>
    <w:rsid w:val="004667D6"/>
    <w:rsid w:val="00466BC3"/>
    <w:rsid w:val="00466D5A"/>
    <w:rsid w:val="004670B0"/>
    <w:rsid w:val="004675AA"/>
    <w:rsid w:val="0047000F"/>
    <w:rsid w:val="004705ED"/>
    <w:rsid w:val="00472896"/>
    <w:rsid w:val="00473AC5"/>
    <w:rsid w:val="00473B3B"/>
    <w:rsid w:val="00473D94"/>
    <w:rsid w:val="00474170"/>
    <w:rsid w:val="0047499E"/>
    <w:rsid w:val="00474FF4"/>
    <w:rsid w:val="004757EC"/>
    <w:rsid w:val="0047595F"/>
    <w:rsid w:val="00475E92"/>
    <w:rsid w:val="00480563"/>
    <w:rsid w:val="00481D21"/>
    <w:rsid w:val="00482617"/>
    <w:rsid w:val="004828A6"/>
    <w:rsid w:val="00484200"/>
    <w:rsid w:val="00484C61"/>
    <w:rsid w:val="00486797"/>
    <w:rsid w:val="004874F7"/>
    <w:rsid w:val="00487546"/>
    <w:rsid w:val="0048759A"/>
    <w:rsid w:val="00487948"/>
    <w:rsid w:val="00490CEE"/>
    <w:rsid w:val="00491B4A"/>
    <w:rsid w:val="00491D11"/>
    <w:rsid w:val="0049237A"/>
    <w:rsid w:val="00492C34"/>
    <w:rsid w:val="00492CF3"/>
    <w:rsid w:val="00493043"/>
    <w:rsid w:val="00493665"/>
    <w:rsid w:val="00493B16"/>
    <w:rsid w:val="004942D3"/>
    <w:rsid w:val="0049587A"/>
    <w:rsid w:val="00495CCD"/>
    <w:rsid w:val="00495D1B"/>
    <w:rsid w:val="0049647B"/>
    <w:rsid w:val="004965CB"/>
    <w:rsid w:val="004966C5"/>
    <w:rsid w:val="00496C43"/>
    <w:rsid w:val="00496D41"/>
    <w:rsid w:val="00497557"/>
    <w:rsid w:val="004A097D"/>
    <w:rsid w:val="004A173B"/>
    <w:rsid w:val="004A1857"/>
    <w:rsid w:val="004A1C9E"/>
    <w:rsid w:val="004A2DD0"/>
    <w:rsid w:val="004A3348"/>
    <w:rsid w:val="004A6A63"/>
    <w:rsid w:val="004A7E70"/>
    <w:rsid w:val="004B0283"/>
    <w:rsid w:val="004B06C4"/>
    <w:rsid w:val="004B1558"/>
    <w:rsid w:val="004B2168"/>
    <w:rsid w:val="004B2553"/>
    <w:rsid w:val="004B3C57"/>
    <w:rsid w:val="004B4080"/>
    <w:rsid w:val="004B45D4"/>
    <w:rsid w:val="004B46D5"/>
    <w:rsid w:val="004B477F"/>
    <w:rsid w:val="004B5FD1"/>
    <w:rsid w:val="004B626E"/>
    <w:rsid w:val="004B7ED2"/>
    <w:rsid w:val="004C1433"/>
    <w:rsid w:val="004C1B54"/>
    <w:rsid w:val="004C1B7B"/>
    <w:rsid w:val="004C1F57"/>
    <w:rsid w:val="004C21D6"/>
    <w:rsid w:val="004C2495"/>
    <w:rsid w:val="004C2957"/>
    <w:rsid w:val="004C3FCE"/>
    <w:rsid w:val="004C4205"/>
    <w:rsid w:val="004C48EC"/>
    <w:rsid w:val="004C5426"/>
    <w:rsid w:val="004C5BE7"/>
    <w:rsid w:val="004C622C"/>
    <w:rsid w:val="004C690E"/>
    <w:rsid w:val="004C698E"/>
    <w:rsid w:val="004C7B0B"/>
    <w:rsid w:val="004C7D79"/>
    <w:rsid w:val="004D0ABF"/>
    <w:rsid w:val="004D0C09"/>
    <w:rsid w:val="004D18CA"/>
    <w:rsid w:val="004D1B36"/>
    <w:rsid w:val="004D1D54"/>
    <w:rsid w:val="004D255B"/>
    <w:rsid w:val="004D30BD"/>
    <w:rsid w:val="004D47C5"/>
    <w:rsid w:val="004D4D69"/>
    <w:rsid w:val="004D5834"/>
    <w:rsid w:val="004D6A9C"/>
    <w:rsid w:val="004D6C3A"/>
    <w:rsid w:val="004D7324"/>
    <w:rsid w:val="004E0175"/>
    <w:rsid w:val="004E0349"/>
    <w:rsid w:val="004E14A9"/>
    <w:rsid w:val="004E1935"/>
    <w:rsid w:val="004E1E68"/>
    <w:rsid w:val="004E1EE4"/>
    <w:rsid w:val="004E2B3C"/>
    <w:rsid w:val="004E3391"/>
    <w:rsid w:val="004E3E14"/>
    <w:rsid w:val="004E3E50"/>
    <w:rsid w:val="004E444F"/>
    <w:rsid w:val="004E4C36"/>
    <w:rsid w:val="004E4CC7"/>
    <w:rsid w:val="004E4EE2"/>
    <w:rsid w:val="004E4FE6"/>
    <w:rsid w:val="004E53C7"/>
    <w:rsid w:val="004E5422"/>
    <w:rsid w:val="004E5C9F"/>
    <w:rsid w:val="004E65F4"/>
    <w:rsid w:val="004E68D5"/>
    <w:rsid w:val="004E6FD3"/>
    <w:rsid w:val="004E741E"/>
    <w:rsid w:val="004E7B60"/>
    <w:rsid w:val="004F1843"/>
    <w:rsid w:val="004F2B27"/>
    <w:rsid w:val="004F2FD7"/>
    <w:rsid w:val="004F32A5"/>
    <w:rsid w:val="004F32DA"/>
    <w:rsid w:val="004F38D0"/>
    <w:rsid w:val="004F3B54"/>
    <w:rsid w:val="004F42BB"/>
    <w:rsid w:val="004F4C2B"/>
    <w:rsid w:val="004F4F6A"/>
    <w:rsid w:val="004F4FAC"/>
    <w:rsid w:val="00500DB1"/>
    <w:rsid w:val="00500EE4"/>
    <w:rsid w:val="0050111F"/>
    <w:rsid w:val="0050144A"/>
    <w:rsid w:val="005029FB"/>
    <w:rsid w:val="00502F43"/>
    <w:rsid w:val="005038E4"/>
    <w:rsid w:val="00504BA9"/>
    <w:rsid w:val="00504C1D"/>
    <w:rsid w:val="00505954"/>
    <w:rsid w:val="00505D6D"/>
    <w:rsid w:val="00506130"/>
    <w:rsid w:val="005069B4"/>
    <w:rsid w:val="00506AE0"/>
    <w:rsid w:val="00506AE5"/>
    <w:rsid w:val="00506B04"/>
    <w:rsid w:val="00507B00"/>
    <w:rsid w:val="00510D9D"/>
    <w:rsid w:val="00511056"/>
    <w:rsid w:val="0051280F"/>
    <w:rsid w:val="005133D8"/>
    <w:rsid w:val="00513419"/>
    <w:rsid w:val="00513F53"/>
    <w:rsid w:val="00514625"/>
    <w:rsid w:val="00515F86"/>
    <w:rsid w:val="00516380"/>
    <w:rsid w:val="00516CC4"/>
    <w:rsid w:val="00517798"/>
    <w:rsid w:val="005178D0"/>
    <w:rsid w:val="00520787"/>
    <w:rsid w:val="00521067"/>
    <w:rsid w:val="005228C6"/>
    <w:rsid w:val="005235F4"/>
    <w:rsid w:val="005244E3"/>
    <w:rsid w:val="0052572F"/>
    <w:rsid w:val="00525739"/>
    <w:rsid w:val="005260EA"/>
    <w:rsid w:val="00526E21"/>
    <w:rsid w:val="005271F8"/>
    <w:rsid w:val="00530A3B"/>
    <w:rsid w:val="0053101D"/>
    <w:rsid w:val="00532CD4"/>
    <w:rsid w:val="00535E61"/>
    <w:rsid w:val="0053638F"/>
    <w:rsid w:val="005363E8"/>
    <w:rsid w:val="00536C5A"/>
    <w:rsid w:val="00537283"/>
    <w:rsid w:val="005373A5"/>
    <w:rsid w:val="00537B49"/>
    <w:rsid w:val="00537EDE"/>
    <w:rsid w:val="00540C3D"/>
    <w:rsid w:val="0054206A"/>
    <w:rsid w:val="00542C89"/>
    <w:rsid w:val="00542EB4"/>
    <w:rsid w:val="005436CF"/>
    <w:rsid w:val="00544142"/>
    <w:rsid w:val="00544B2B"/>
    <w:rsid w:val="00545249"/>
    <w:rsid w:val="00545343"/>
    <w:rsid w:val="0054621A"/>
    <w:rsid w:val="00546747"/>
    <w:rsid w:val="00546EEF"/>
    <w:rsid w:val="00547750"/>
    <w:rsid w:val="005508A3"/>
    <w:rsid w:val="00550ABF"/>
    <w:rsid w:val="005510B6"/>
    <w:rsid w:val="00551BE5"/>
    <w:rsid w:val="005520EF"/>
    <w:rsid w:val="0055231F"/>
    <w:rsid w:val="005543D2"/>
    <w:rsid w:val="00554925"/>
    <w:rsid w:val="00554E15"/>
    <w:rsid w:val="00557323"/>
    <w:rsid w:val="005578BD"/>
    <w:rsid w:val="0056055C"/>
    <w:rsid w:val="0056147D"/>
    <w:rsid w:val="0056152C"/>
    <w:rsid w:val="00561741"/>
    <w:rsid w:val="00561759"/>
    <w:rsid w:val="00561F06"/>
    <w:rsid w:val="00562C4D"/>
    <w:rsid w:val="00562D9E"/>
    <w:rsid w:val="005653FF"/>
    <w:rsid w:val="0056761B"/>
    <w:rsid w:val="005677EA"/>
    <w:rsid w:val="00567D7D"/>
    <w:rsid w:val="0057064A"/>
    <w:rsid w:val="005707D9"/>
    <w:rsid w:val="00570A82"/>
    <w:rsid w:val="0057134D"/>
    <w:rsid w:val="00572CE8"/>
    <w:rsid w:val="005737CB"/>
    <w:rsid w:val="005750C8"/>
    <w:rsid w:val="0057522F"/>
    <w:rsid w:val="005756BF"/>
    <w:rsid w:val="00575C86"/>
    <w:rsid w:val="00575C91"/>
    <w:rsid w:val="00576194"/>
    <w:rsid w:val="005763D8"/>
    <w:rsid w:val="00576A6E"/>
    <w:rsid w:val="00576D6D"/>
    <w:rsid w:val="00576D71"/>
    <w:rsid w:val="00576FE2"/>
    <w:rsid w:val="005771F8"/>
    <w:rsid w:val="0057744A"/>
    <w:rsid w:val="0058064D"/>
    <w:rsid w:val="005815BB"/>
    <w:rsid w:val="005819DF"/>
    <w:rsid w:val="00581BA6"/>
    <w:rsid w:val="00581D19"/>
    <w:rsid w:val="00582455"/>
    <w:rsid w:val="0058279E"/>
    <w:rsid w:val="00582C1B"/>
    <w:rsid w:val="00582C25"/>
    <w:rsid w:val="005833BA"/>
    <w:rsid w:val="00583D03"/>
    <w:rsid w:val="00583F25"/>
    <w:rsid w:val="00583F38"/>
    <w:rsid w:val="0058404A"/>
    <w:rsid w:val="00584D84"/>
    <w:rsid w:val="00585D42"/>
    <w:rsid w:val="00585D9E"/>
    <w:rsid w:val="00586B46"/>
    <w:rsid w:val="00587CC9"/>
    <w:rsid w:val="00590A46"/>
    <w:rsid w:val="00591073"/>
    <w:rsid w:val="00592006"/>
    <w:rsid w:val="00592192"/>
    <w:rsid w:val="00592283"/>
    <w:rsid w:val="005928E5"/>
    <w:rsid w:val="00592913"/>
    <w:rsid w:val="00592AC3"/>
    <w:rsid w:val="00592C55"/>
    <w:rsid w:val="00592E03"/>
    <w:rsid w:val="005949CB"/>
    <w:rsid w:val="00594D47"/>
    <w:rsid w:val="00595111"/>
    <w:rsid w:val="00595172"/>
    <w:rsid w:val="005962E9"/>
    <w:rsid w:val="00597873"/>
    <w:rsid w:val="005A00E3"/>
    <w:rsid w:val="005A0D13"/>
    <w:rsid w:val="005A0F95"/>
    <w:rsid w:val="005A27AB"/>
    <w:rsid w:val="005A2C53"/>
    <w:rsid w:val="005A340D"/>
    <w:rsid w:val="005A36B9"/>
    <w:rsid w:val="005A53AE"/>
    <w:rsid w:val="005A5AF6"/>
    <w:rsid w:val="005A6CD1"/>
    <w:rsid w:val="005A70E4"/>
    <w:rsid w:val="005A7C20"/>
    <w:rsid w:val="005A7D65"/>
    <w:rsid w:val="005A7EA5"/>
    <w:rsid w:val="005B2186"/>
    <w:rsid w:val="005B2413"/>
    <w:rsid w:val="005B2E61"/>
    <w:rsid w:val="005B2EE8"/>
    <w:rsid w:val="005B436F"/>
    <w:rsid w:val="005B4402"/>
    <w:rsid w:val="005B46F0"/>
    <w:rsid w:val="005B5BC1"/>
    <w:rsid w:val="005B5FF2"/>
    <w:rsid w:val="005B7443"/>
    <w:rsid w:val="005C0CAB"/>
    <w:rsid w:val="005C0CE8"/>
    <w:rsid w:val="005C0F56"/>
    <w:rsid w:val="005C117A"/>
    <w:rsid w:val="005C131B"/>
    <w:rsid w:val="005C19AA"/>
    <w:rsid w:val="005C1CF0"/>
    <w:rsid w:val="005C2086"/>
    <w:rsid w:val="005C2FC4"/>
    <w:rsid w:val="005C36EA"/>
    <w:rsid w:val="005C3D6C"/>
    <w:rsid w:val="005C4459"/>
    <w:rsid w:val="005C44D9"/>
    <w:rsid w:val="005C4D3E"/>
    <w:rsid w:val="005C511C"/>
    <w:rsid w:val="005C55B4"/>
    <w:rsid w:val="005C5B23"/>
    <w:rsid w:val="005C6768"/>
    <w:rsid w:val="005C6C9F"/>
    <w:rsid w:val="005D03D8"/>
    <w:rsid w:val="005D06A0"/>
    <w:rsid w:val="005D0C7F"/>
    <w:rsid w:val="005D0F2F"/>
    <w:rsid w:val="005D28BF"/>
    <w:rsid w:val="005D2AD9"/>
    <w:rsid w:val="005D2AF9"/>
    <w:rsid w:val="005D5459"/>
    <w:rsid w:val="005D5696"/>
    <w:rsid w:val="005D5C72"/>
    <w:rsid w:val="005D6336"/>
    <w:rsid w:val="005D689A"/>
    <w:rsid w:val="005D6AC2"/>
    <w:rsid w:val="005E03B3"/>
    <w:rsid w:val="005E1C71"/>
    <w:rsid w:val="005E1E00"/>
    <w:rsid w:val="005E3F76"/>
    <w:rsid w:val="005E4CE9"/>
    <w:rsid w:val="005E4F2A"/>
    <w:rsid w:val="005E4F47"/>
    <w:rsid w:val="005E5E11"/>
    <w:rsid w:val="005E6562"/>
    <w:rsid w:val="005E7957"/>
    <w:rsid w:val="005E7EBA"/>
    <w:rsid w:val="005E7F01"/>
    <w:rsid w:val="005F0549"/>
    <w:rsid w:val="005F098F"/>
    <w:rsid w:val="005F0D9D"/>
    <w:rsid w:val="005F1A7F"/>
    <w:rsid w:val="005F29A9"/>
    <w:rsid w:val="005F6117"/>
    <w:rsid w:val="005F7901"/>
    <w:rsid w:val="00600837"/>
    <w:rsid w:val="0060216D"/>
    <w:rsid w:val="0060254E"/>
    <w:rsid w:val="00602F57"/>
    <w:rsid w:val="00602FC1"/>
    <w:rsid w:val="006030B2"/>
    <w:rsid w:val="00603BA3"/>
    <w:rsid w:val="00603D6F"/>
    <w:rsid w:val="00604115"/>
    <w:rsid w:val="0060451B"/>
    <w:rsid w:val="006045CC"/>
    <w:rsid w:val="0060480A"/>
    <w:rsid w:val="0060487C"/>
    <w:rsid w:val="006057F6"/>
    <w:rsid w:val="006068DA"/>
    <w:rsid w:val="00606DBC"/>
    <w:rsid w:val="00607064"/>
    <w:rsid w:val="00607F48"/>
    <w:rsid w:val="00610242"/>
    <w:rsid w:val="00611252"/>
    <w:rsid w:val="00612C1D"/>
    <w:rsid w:val="0061304C"/>
    <w:rsid w:val="00613169"/>
    <w:rsid w:val="00613244"/>
    <w:rsid w:val="00614E9F"/>
    <w:rsid w:val="00615A6F"/>
    <w:rsid w:val="00616279"/>
    <w:rsid w:val="006164D5"/>
    <w:rsid w:val="006167D4"/>
    <w:rsid w:val="00617040"/>
    <w:rsid w:val="006173BD"/>
    <w:rsid w:val="00617430"/>
    <w:rsid w:val="00617EC3"/>
    <w:rsid w:val="00617ED9"/>
    <w:rsid w:val="00620809"/>
    <w:rsid w:val="00620DCF"/>
    <w:rsid w:val="0062131E"/>
    <w:rsid w:val="00621FE2"/>
    <w:rsid w:val="00622290"/>
    <w:rsid w:val="006222E3"/>
    <w:rsid w:val="0062337B"/>
    <w:rsid w:val="0062364A"/>
    <w:rsid w:val="00623B41"/>
    <w:rsid w:val="00624C1C"/>
    <w:rsid w:val="00625878"/>
    <w:rsid w:val="00625B6F"/>
    <w:rsid w:val="006261E7"/>
    <w:rsid w:val="00626216"/>
    <w:rsid w:val="0062780A"/>
    <w:rsid w:val="0063031C"/>
    <w:rsid w:val="00631E13"/>
    <w:rsid w:val="00633499"/>
    <w:rsid w:val="00633DB7"/>
    <w:rsid w:val="00634D4B"/>
    <w:rsid w:val="00634DC6"/>
    <w:rsid w:val="00634EDC"/>
    <w:rsid w:val="00635254"/>
    <w:rsid w:val="006353CB"/>
    <w:rsid w:val="00635504"/>
    <w:rsid w:val="00635A00"/>
    <w:rsid w:val="006375E8"/>
    <w:rsid w:val="00637964"/>
    <w:rsid w:val="00640099"/>
    <w:rsid w:val="006403F7"/>
    <w:rsid w:val="00640802"/>
    <w:rsid w:val="00640B1E"/>
    <w:rsid w:val="00641651"/>
    <w:rsid w:val="00642255"/>
    <w:rsid w:val="00643081"/>
    <w:rsid w:val="006438C9"/>
    <w:rsid w:val="00644D19"/>
    <w:rsid w:val="006473DE"/>
    <w:rsid w:val="00647446"/>
    <w:rsid w:val="00647D15"/>
    <w:rsid w:val="00650B01"/>
    <w:rsid w:val="006510F5"/>
    <w:rsid w:val="00651274"/>
    <w:rsid w:val="00652EAD"/>
    <w:rsid w:val="00654054"/>
    <w:rsid w:val="0065444E"/>
    <w:rsid w:val="00654551"/>
    <w:rsid w:val="00654A0D"/>
    <w:rsid w:val="0065510E"/>
    <w:rsid w:val="00655FB9"/>
    <w:rsid w:val="006560E8"/>
    <w:rsid w:val="00657F07"/>
    <w:rsid w:val="0066062D"/>
    <w:rsid w:val="00661904"/>
    <w:rsid w:val="006620FD"/>
    <w:rsid w:val="0066294D"/>
    <w:rsid w:val="00662C19"/>
    <w:rsid w:val="00662D71"/>
    <w:rsid w:val="006631AC"/>
    <w:rsid w:val="00663343"/>
    <w:rsid w:val="0066445B"/>
    <w:rsid w:val="0066496E"/>
    <w:rsid w:val="00664F10"/>
    <w:rsid w:val="006650FA"/>
    <w:rsid w:val="00665F65"/>
    <w:rsid w:val="006662D7"/>
    <w:rsid w:val="00667C71"/>
    <w:rsid w:val="00667CB6"/>
    <w:rsid w:val="00670A2E"/>
    <w:rsid w:val="00671212"/>
    <w:rsid w:val="0067131F"/>
    <w:rsid w:val="006715AE"/>
    <w:rsid w:val="00671653"/>
    <w:rsid w:val="00671816"/>
    <w:rsid w:val="00672A36"/>
    <w:rsid w:val="00672F37"/>
    <w:rsid w:val="0067342F"/>
    <w:rsid w:val="006735AE"/>
    <w:rsid w:val="0067379D"/>
    <w:rsid w:val="0067433E"/>
    <w:rsid w:val="006746B9"/>
    <w:rsid w:val="00675DB0"/>
    <w:rsid w:val="006768E5"/>
    <w:rsid w:val="00676FDD"/>
    <w:rsid w:val="006770A3"/>
    <w:rsid w:val="00677F9F"/>
    <w:rsid w:val="006809B1"/>
    <w:rsid w:val="00680BA6"/>
    <w:rsid w:val="00680FB5"/>
    <w:rsid w:val="00681837"/>
    <w:rsid w:val="0068249E"/>
    <w:rsid w:val="00682877"/>
    <w:rsid w:val="00683207"/>
    <w:rsid w:val="0068343C"/>
    <w:rsid w:val="00683778"/>
    <w:rsid w:val="00684086"/>
    <w:rsid w:val="0068416C"/>
    <w:rsid w:val="00684687"/>
    <w:rsid w:val="00684C70"/>
    <w:rsid w:val="006856FC"/>
    <w:rsid w:val="00685E7C"/>
    <w:rsid w:val="0068763A"/>
    <w:rsid w:val="00687A78"/>
    <w:rsid w:val="00687E5D"/>
    <w:rsid w:val="006912FB"/>
    <w:rsid w:val="00691F94"/>
    <w:rsid w:val="00693A75"/>
    <w:rsid w:val="00694A89"/>
    <w:rsid w:val="00695ACD"/>
    <w:rsid w:val="00696406"/>
    <w:rsid w:val="0069756F"/>
    <w:rsid w:val="00697A8B"/>
    <w:rsid w:val="006A010F"/>
    <w:rsid w:val="006A05AE"/>
    <w:rsid w:val="006A0F74"/>
    <w:rsid w:val="006A12BE"/>
    <w:rsid w:val="006A182F"/>
    <w:rsid w:val="006A23EC"/>
    <w:rsid w:val="006A27AE"/>
    <w:rsid w:val="006A2B37"/>
    <w:rsid w:val="006A2FBB"/>
    <w:rsid w:val="006A3096"/>
    <w:rsid w:val="006A32B8"/>
    <w:rsid w:val="006A3569"/>
    <w:rsid w:val="006A3E1F"/>
    <w:rsid w:val="006A41F4"/>
    <w:rsid w:val="006A4267"/>
    <w:rsid w:val="006A48DF"/>
    <w:rsid w:val="006A4D55"/>
    <w:rsid w:val="006A51BA"/>
    <w:rsid w:val="006A6073"/>
    <w:rsid w:val="006A6239"/>
    <w:rsid w:val="006A65A2"/>
    <w:rsid w:val="006A68E0"/>
    <w:rsid w:val="006A6AB9"/>
    <w:rsid w:val="006A6BD3"/>
    <w:rsid w:val="006A7231"/>
    <w:rsid w:val="006A7953"/>
    <w:rsid w:val="006A7B19"/>
    <w:rsid w:val="006B01E0"/>
    <w:rsid w:val="006B0317"/>
    <w:rsid w:val="006B0717"/>
    <w:rsid w:val="006B0F30"/>
    <w:rsid w:val="006B11AB"/>
    <w:rsid w:val="006B1822"/>
    <w:rsid w:val="006B3445"/>
    <w:rsid w:val="006B3F8C"/>
    <w:rsid w:val="006B4912"/>
    <w:rsid w:val="006B511F"/>
    <w:rsid w:val="006B58C0"/>
    <w:rsid w:val="006B5A57"/>
    <w:rsid w:val="006B5C63"/>
    <w:rsid w:val="006B7332"/>
    <w:rsid w:val="006B7F34"/>
    <w:rsid w:val="006B7F93"/>
    <w:rsid w:val="006C1387"/>
    <w:rsid w:val="006C4294"/>
    <w:rsid w:val="006C4D19"/>
    <w:rsid w:val="006C4D58"/>
    <w:rsid w:val="006C53B4"/>
    <w:rsid w:val="006C5F8D"/>
    <w:rsid w:val="006C64CA"/>
    <w:rsid w:val="006C651D"/>
    <w:rsid w:val="006D0C75"/>
    <w:rsid w:val="006D10DC"/>
    <w:rsid w:val="006D1719"/>
    <w:rsid w:val="006D181C"/>
    <w:rsid w:val="006D18D1"/>
    <w:rsid w:val="006D22FC"/>
    <w:rsid w:val="006D27A7"/>
    <w:rsid w:val="006D3AD8"/>
    <w:rsid w:val="006D4967"/>
    <w:rsid w:val="006D4D0E"/>
    <w:rsid w:val="006D5358"/>
    <w:rsid w:val="006D539C"/>
    <w:rsid w:val="006D635D"/>
    <w:rsid w:val="006D678A"/>
    <w:rsid w:val="006D679D"/>
    <w:rsid w:val="006D6949"/>
    <w:rsid w:val="006D6CE4"/>
    <w:rsid w:val="006D7103"/>
    <w:rsid w:val="006E0CB5"/>
    <w:rsid w:val="006E0EEA"/>
    <w:rsid w:val="006E1566"/>
    <w:rsid w:val="006E19FF"/>
    <w:rsid w:val="006E25E9"/>
    <w:rsid w:val="006E347A"/>
    <w:rsid w:val="006E3578"/>
    <w:rsid w:val="006E35BC"/>
    <w:rsid w:val="006E562E"/>
    <w:rsid w:val="006E5AD4"/>
    <w:rsid w:val="006E5C46"/>
    <w:rsid w:val="006E5CD6"/>
    <w:rsid w:val="006E5DF3"/>
    <w:rsid w:val="006E64D1"/>
    <w:rsid w:val="006E6EA9"/>
    <w:rsid w:val="006E6F79"/>
    <w:rsid w:val="006E7C57"/>
    <w:rsid w:val="006E7D33"/>
    <w:rsid w:val="006F011F"/>
    <w:rsid w:val="006F030E"/>
    <w:rsid w:val="006F0547"/>
    <w:rsid w:val="006F0AC2"/>
    <w:rsid w:val="006F2017"/>
    <w:rsid w:val="006F22ED"/>
    <w:rsid w:val="006F3AF3"/>
    <w:rsid w:val="006F5A61"/>
    <w:rsid w:val="006F64B0"/>
    <w:rsid w:val="006F6E57"/>
    <w:rsid w:val="006F6F5E"/>
    <w:rsid w:val="006F7272"/>
    <w:rsid w:val="006F748B"/>
    <w:rsid w:val="006F78BD"/>
    <w:rsid w:val="006F7BB1"/>
    <w:rsid w:val="0070168D"/>
    <w:rsid w:val="00701E58"/>
    <w:rsid w:val="00704F18"/>
    <w:rsid w:val="00705291"/>
    <w:rsid w:val="007065F6"/>
    <w:rsid w:val="007074B1"/>
    <w:rsid w:val="0070758A"/>
    <w:rsid w:val="007079E9"/>
    <w:rsid w:val="00710BBE"/>
    <w:rsid w:val="00711399"/>
    <w:rsid w:val="00713767"/>
    <w:rsid w:val="00714ED9"/>
    <w:rsid w:val="00715A67"/>
    <w:rsid w:val="007160A5"/>
    <w:rsid w:val="00716732"/>
    <w:rsid w:val="00716FD8"/>
    <w:rsid w:val="0071738F"/>
    <w:rsid w:val="00717B04"/>
    <w:rsid w:val="00723AB5"/>
    <w:rsid w:val="00723B9C"/>
    <w:rsid w:val="00724267"/>
    <w:rsid w:val="007242C4"/>
    <w:rsid w:val="00724671"/>
    <w:rsid w:val="007251E5"/>
    <w:rsid w:val="00725F61"/>
    <w:rsid w:val="00731BE3"/>
    <w:rsid w:val="00731BF8"/>
    <w:rsid w:val="007326FB"/>
    <w:rsid w:val="007327B8"/>
    <w:rsid w:val="00732BC1"/>
    <w:rsid w:val="007334A0"/>
    <w:rsid w:val="007336EC"/>
    <w:rsid w:val="00733D3A"/>
    <w:rsid w:val="00733DB5"/>
    <w:rsid w:val="00734D50"/>
    <w:rsid w:val="0073528F"/>
    <w:rsid w:val="00736344"/>
    <w:rsid w:val="0073642A"/>
    <w:rsid w:val="007406A1"/>
    <w:rsid w:val="00740936"/>
    <w:rsid w:val="0074194B"/>
    <w:rsid w:val="007428FD"/>
    <w:rsid w:val="0074309B"/>
    <w:rsid w:val="00744616"/>
    <w:rsid w:val="007449EA"/>
    <w:rsid w:val="00744E65"/>
    <w:rsid w:val="007463E0"/>
    <w:rsid w:val="0074666A"/>
    <w:rsid w:val="0074725E"/>
    <w:rsid w:val="00747475"/>
    <w:rsid w:val="00747479"/>
    <w:rsid w:val="00747DBC"/>
    <w:rsid w:val="0075045F"/>
    <w:rsid w:val="0075049D"/>
    <w:rsid w:val="00750A3C"/>
    <w:rsid w:val="00751734"/>
    <w:rsid w:val="00751BA4"/>
    <w:rsid w:val="00751F4C"/>
    <w:rsid w:val="0075281A"/>
    <w:rsid w:val="00752C0C"/>
    <w:rsid w:val="007541E8"/>
    <w:rsid w:val="007547A0"/>
    <w:rsid w:val="0075497E"/>
    <w:rsid w:val="00755BFD"/>
    <w:rsid w:val="00756A13"/>
    <w:rsid w:val="00756B5E"/>
    <w:rsid w:val="007570A4"/>
    <w:rsid w:val="00757171"/>
    <w:rsid w:val="0075756E"/>
    <w:rsid w:val="00757836"/>
    <w:rsid w:val="007605FF"/>
    <w:rsid w:val="00760850"/>
    <w:rsid w:val="00760D24"/>
    <w:rsid w:val="0076160B"/>
    <w:rsid w:val="007627BB"/>
    <w:rsid w:val="007638D6"/>
    <w:rsid w:val="0076390A"/>
    <w:rsid w:val="00764314"/>
    <w:rsid w:val="0076450A"/>
    <w:rsid w:val="00764F18"/>
    <w:rsid w:val="00765781"/>
    <w:rsid w:val="00765977"/>
    <w:rsid w:val="007663BD"/>
    <w:rsid w:val="00766909"/>
    <w:rsid w:val="00766BD0"/>
    <w:rsid w:val="00766CD9"/>
    <w:rsid w:val="0076791C"/>
    <w:rsid w:val="00770CB0"/>
    <w:rsid w:val="0077128B"/>
    <w:rsid w:val="007724F4"/>
    <w:rsid w:val="00774707"/>
    <w:rsid w:val="007755E5"/>
    <w:rsid w:val="00775C7B"/>
    <w:rsid w:val="00776BFA"/>
    <w:rsid w:val="00776E7E"/>
    <w:rsid w:val="00777019"/>
    <w:rsid w:val="007775F0"/>
    <w:rsid w:val="007778C9"/>
    <w:rsid w:val="00780EAB"/>
    <w:rsid w:val="00781CEE"/>
    <w:rsid w:val="0078234F"/>
    <w:rsid w:val="00783487"/>
    <w:rsid w:val="00783821"/>
    <w:rsid w:val="0078384F"/>
    <w:rsid w:val="0078392A"/>
    <w:rsid w:val="007852C5"/>
    <w:rsid w:val="0078599F"/>
    <w:rsid w:val="0078671A"/>
    <w:rsid w:val="00786885"/>
    <w:rsid w:val="00786E8E"/>
    <w:rsid w:val="00787CEA"/>
    <w:rsid w:val="00790E23"/>
    <w:rsid w:val="00790FCA"/>
    <w:rsid w:val="007912A1"/>
    <w:rsid w:val="007917D3"/>
    <w:rsid w:val="00791829"/>
    <w:rsid w:val="00791DC0"/>
    <w:rsid w:val="00792286"/>
    <w:rsid w:val="00792326"/>
    <w:rsid w:val="00792362"/>
    <w:rsid w:val="00792FC7"/>
    <w:rsid w:val="00793412"/>
    <w:rsid w:val="00793AD6"/>
    <w:rsid w:val="00793CD2"/>
    <w:rsid w:val="00794685"/>
    <w:rsid w:val="0079487E"/>
    <w:rsid w:val="00794D0B"/>
    <w:rsid w:val="007951A9"/>
    <w:rsid w:val="0079558D"/>
    <w:rsid w:val="007956D7"/>
    <w:rsid w:val="007958FA"/>
    <w:rsid w:val="007979F5"/>
    <w:rsid w:val="007A03AC"/>
    <w:rsid w:val="007A0726"/>
    <w:rsid w:val="007A0C18"/>
    <w:rsid w:val="007A0D02"/>
    <w:rsid w:val="007A0E02"/>
    <w:rsid w:val="007A2E75"/>
    <w:rsid w:val="007A34C1"/>
    <w:rsid w:val="007A3F6F"/>
    <w:rsid w:val="007A4584"/>
    <w:rsid w:val="007A4B6C"/>
    <w:rsid w:val="007A4F93"/>
    <w:rsid w:val="007A6A8C"/>
    <w:rsid w:val="007A6C79"/>
    <w:rsid w:val="007A7441"/>
    <w:rsid w:val="007A7922"/>
    <w:rsid w:val="007B02AA"/>
    <w:rsid w:val="007B1275"/>
    <w:rsid w:val="007B1A32"/>
    <w:rsid w:val="007B1D1E"/>
    <w:rsid w:val="007B2332"/>
    <w:rsid w:val="007B27A1"/>
    <w:rsid w:val="007B33E5"/>
    <w:rsid w:val="007B383B"/>
    <w:rsid w:val="007B3C9F"/>
    <w:rsid w:val="007B43F8"/>
    <w:rsid w:val="007B49C0"/>
    <w:rsid w:val="007B514F"/>
    <w:rsid w:val="007B56A7"/>
    <w:rsid w:val="007B5CE3"/>
    <w:rsid w:val="007B6038"/>
    <w:rsid w:val="007B606A"/>
    <w:rsid w:val="007B629C"/>
    <w:rsid w:val="007B6348"/>
    <w:rsid w:val="007B65F7"/>
    <w:rsid w:val="007B6C45"/>
    <w:rsid w:val="007B74F1"/>
    <w:rsid w:val="007B7884"/>
    <w:rsid w:val="007B7A72"/>
    <w:rsid w:val="007B7C57"/>
    <w:rsid w:val="007C0078"/>
    <w:rsid w:val="007C048F"/>
    <w:rsid w:val="007C1457"/>
    <w:rsid w:val="007C1500"/>
    <w:rsid w:val="007C2654"/>
    <w:rsid w:val="007C2C4B"/>
    <w:rsid w:val="007C2D69"/>
    <w:rsid w:val="007C3777"/>
    <w:rsid w:val="007C4473"/>
    <w:rsid w:val="007C4A84"/>
    <w:rsid w:val="007C511A"/>
    <w:rsid w:val="007C5806"/>
    <w:rsid w:val="007C5B29"/>
    <w:rsid w:val="007C6859"/>
    <w:rsid w:val="007C7711"/>
    <w:rsid w:val="007C77B9"/>
    <w:rsid w:val="007C7DE4"/>
    <w:rsid w:val="007D330A"/>
    <w:rsid w:val="007D3CCF"/>
    <w:rsid w:val="007D417B"/>
    <w:rsid w:val="007D43B5"/>
    <w:rsid w:val="007D5BAD"/>
    <w:rsid w:val="007D678F"/>
    <w:rsid w:val="007D67C9"/>
    <w:rsid w:val="007D68FF"/>
    <w:rsid w:val="007D6DDB"/>
    <w:rsid w:val="007D7291"/>
    <w:rsid w:val="007D75BA"/>
    <w:rsid w:val="007D7CB1"/>
    <w:rsid w:val="007D7FC7"/>
    <w:rsid w:val="007E2AF4"/>
    <w:rsid w:val="007E3176"/>
    <w:rsid w:val="007E3365"/>
    <w:rsid w:val="007E34BA"/>
    <w:rsid w:val="007E3568"/>
    <w:rsid w:val="007E3727"/>
    <w:rsid w:val="007E422B"/>
    <w:rsid w:val="007E46C6"/>
    <w:rsid w:val="007E52A8"/>
    <w:rsid w:val="007E5D42"/>
    <w:rsid w:val="007E5D9B"/>
    <w:rsid w:val="007E737E"/>
    <w:rsid w:val="007E76B1"/>
    <w:rsid w:val="007E7CBE"/>
    <w:rsid w:val="007E7CF9"/>
    <w:rsid w:val="007F0D30"/>
    <w:rsid w:val="007F1C95"/>
    <w:rsid w:val="007F1F03"/>
    <w:rsid w:val="007F3200"/>
    <w:rsid w:val="007F3531"/>
    <w:rsid w:val="007F3539"/>
    <w:rsid w:val="007F379D"/>
    <w:rsid w:val="007F46B5"/>
    <w:rsid w:val="007F5485"/>
    <w:rsid w:val="007F64B8"/>
    <w:rsid w:val="008009DC"/>
    <w:rsid w:val="00800BB5"/>
    <w:rsid w:val="00801A86"/>
    <w:rsid w:val="008020C3"/>
    <w:rsid w:val="00802D04"/>
    <w:rsid w:val="00803634"/>
    <w:rsid w:val="008038E5"/>
    <w:rsid w:val="008042AC"/>
    <w:rsid w:val="008044EF"/>
    <w:rsid w:val="00804CB1"/>
    <w:rsid w:val="00805276"/>
    <w:rsid w:val="0080635E"/>
    <w:rsid w:val="008078BF"/>
    <w:rsid w:val="00807A20"/>
    <w:rsid w:val="00810075"/>
    <w:rsid w:val="008104FC"/>
    <w:rsid w:val="008107BD"/>
    <w:rsid w:val="00810934"/>
    <w:rsid w:val="00810935"/>
    <w:rsid w:val="008115C0"/>
    <w:rsid w:val="00811BD8"/>
    <w:rsid w:val="008120AC"/>
    <w:rsid w:val="0081367F"/>
    <w:rsid w:val="00814130"/>
    <w:rsid w:val="008157CA"/>
    <w:rsid w:val="00815D8B"/>
    <w:rsid w:val="0081664E"/>
    <w:rsid w:val="008168CB"/>
    <w:rsid w:val="00816C83"/>
    <w:rsid w:val="008174AB"/>
    <w:rsid w:val="00820BF1"/>
    <w:rsid w:val="0082164F"/>
    <w:rsid w:val="00821E48"/>
    <w:rsid w:val="00823182"/>
    <w:rsid w:val="0082349A"/>
    <w:rsid w:val="00823B69"/>
    <w:rsid w:val="008248C6"/>
    <w:rsid w:val="0082572A"/>
    <w:rsid w:val="0082633D"/>
    <w:rsid w:val="00826C89"/>
    <w:rsid w:val="00826FFE"/>
    <w:rsid w:val="00827280"/>
    <w:rsid w:val="00827B23"/>
    <w:rsid w:val="00827B35"/>
    <w:rsid w:val="00830EF2"/>
    <w:rsid w:val="008312F3"/>
    <w:rsid w:val="0083194C"/>
    <w:rsid w:val="00831A06"/>
    <w:rsid w:val="008320CF"/>
    <w:rsid w:val="0083235E"/>
    <w:rsid w:val="00832757"/>
    <w:rsid w:val="0083286B"/>
    <w:rsid w:val="00832B1D"/>
    <w:rsid w:val="00832EED"/>
    <w:rsid w:val="0083378F"/>
    <w:rsid w:val="00833DB4"/>
    <w:rsid w:val="00833F45"/>
    <w:rsid w:val="008340AC"/>
    <w:rsid w:val="00834E9C"/>
    <w:rsid w:val="00834F5E"/>
    <w:rsid w:val="00837A11"/>
    <w:rsid w:val="0084009B"/>
    <w:rsid w:val="00841D55"/>
    <w:rsid w:val="00842618"/>
    <w:rsid w:val="00842AB8"/>
    <w:rsid w:val="00842E87"/>
    <w:rsid w:val="00842EE6"/>
    <w:rsid w:val="00842F2D"/>
    <w:rsid w:val="0084301D"/>
    <w:rsid w:val="00843116"/>
    <w:rsid w:val="00843227"/>
    <w:rsid w:val="00843ABD"/>
    <w:rsid w:val="0084431C"/>
    <w:rsid w:val="00844452"/>
    <w:rsid w:val="00844CEE"/>
    <w:rsid w:val="00845F96"/>
    <w:rsid w:val="008467D8"/>
    <w:rsid w:val="00846ABE"/>
    <w:rsid w:val="008470E6"/>
    <w:rsid w:val="00850150"/>
    <w:rsid w:val="008501CC"/>
    <w:rsid w:val="008511C6"/>
    <w:rsid w:val="00851EAF"/>
    <w:rsid w:val="00852365"/>
    <w:rsid w:val="008526DE"/>
    <w:rsid w:val="008532BE"/>
    <w:rsid w:val="0085346F"/>
    <w:rsid w:val="008534C4"/>
    <w:rsid w:val="00854D81"/>
    <w:rsid w:val="00855161"/>
    <w:rsid w:val="0085540E"/>
    <w:rsid w:val="00855535"/>
    <w:rsid w:val="00855A03"/>
    <w:rsid w:val="008561D8"/>
    <w:rsid w:val="008563B5"/>
    <w:rsid w:val="00856BDE"/>
    <w:rsid w:val="00856D80"/>
    <w:rsid w:val="0085761A"/>
    <w:rsid w:val="00860451"/>
    <w:rsid w:val="00860495"/>
    <w:rsid w:val="00860730"/>
    <w:rsid w:val="00860B92"/>
    <w:rsid w:val="00860CA6"/>
    <w:rsid w:val="00860D17"/>
    <w:rsid w:val="00860F71"/>
    <w:rsid w:val="0086126B"/>
    <w:rsid w:val="00861B34"/>
    <w:rsid w:val="00862F76"/>
    <w:rsid w:val="0086365A"/>
    <w:rsid w:val="00863DDD"/>
    <w:rsid w:val="008640BE"/>
    <w:rsid w:val="00864DEF"/>
    <w:rsid w:val="00865C32"/>
    <w:rsid w:val="008669E5"/>
    <w:rsid w:val="00867C5B"/>
    <w:rsid w:val="00867E34"/>
    <w:rsid w:val="00867E93"/>
    <w:rsid w:val="0087083E"/>
    <w:rsid w:val="00871258"/>
    <w:rsid w:val="008712CC"/>
    <w:rsid w:val="008712F9"/>
    <w:rsid w:val="008720DC"/>
    <w:rsid w:val="00872D94"/>
    <w:rsid w:val="0087419C"/>
    <w:rsid w:val="00875311"/>
    <w:rsid w:val="00875389"/>
    <w:rsid w:val="00875B1E"/>
    <w:rsid w:val="008762D8"/>
    <w:rsid w:val="008763F7"/>
    <w:rsid w:val="00876D69"/>
    <w:rsid w:val="008774A7"/>
    <w:rsid w:val="00880859"/>
    <w:rsid w:val="00880D15"/>
    <w:rsid w:val="00880D4C"/>
    <w:rsid w:val="00881189"/>
    <w:rsid w:val="00881382"/>
    <w:rsid w:val="00881BFF"/>
    <w:rsid w:val="008835BE"/>
    <w:rsid w:val="00884617"/>
    <w:rsid w:val="008848C4"/>
    <w:rsid w:val="008873FA"/>
    <w:rsid w:val="0088793A"/>
    <w:rsid w:val="00887E07"/>
    <w:rsid w:val="008914CA"/>
    <w:rsid w:val="00892E11"/>
    <w:rsid w:val="00893CC4"/>
    <w:rsid w:val="008945C1"/>
    <w:rsid w:val="00894D70"/>
    <w:rsid w:val="008967A4"/>
    <w:rsid w:val="00896989"/>
    <w:rsid w:val="00897297"/>
    <w:rsid w:val="008A145E"/>
    <w:rsid w:val="008A256A"/>
    <w:rsid w:val="008A29B9"/>
    <w:rsid w:val="008A41DB"/>
    <w:rsid w:val="008A45BF"/>
    <w:rsid w:val="008A46BF"/>
    <w:rsid w:val="008A4A01"/>
    <w:rsid w:val="008A4B4A"/>
    <w:rsid w:val="008A5248"/>
    <w:rsid w:val="008A5AC9"/>
    <w:rsid w:val="008A6026"/>
    <w:rsid w:val="008B02CD"/>
    <w:rsid w:val="008B1105"/>
    <w:rsid w:val="008B1E1E"/>
    <w:rsid w:val="008B3534"/>
    <w:rsid w:val="008B35A5"/>
    <w:rsid w:val="008B54F3"/>
    <w:rsid w:val="008B54F9"/>
    <w:rsid w:val="008B5710"/>
    <w:rsid w:val="008B5875"/>
    <w:rsid w:val="008B61F0"/>
    <w:rsid w:val="008B644B"/>
    <w:rsid w:val="008B6611"/>
    <w:rsid w:val="008B692A"/>
    <w:rsid w:val="008B6C51"/>
    <w:rsid w:val="008B7DB5"/>
    <w:rsid w:val="008C024A"/>
    <w:rsid w:val="008C11A9"/>
    <w:rsid w:val="008C1CC4"/>
    <w:rsid w:val="008C500A"/>
    <w:rsid w:val="008C524F"/>
    <w:rsid w:val="008C593F"/>
    <w:rsid w:val="008C680E"/>
    <w:rsid w:val="008C6FE2"/>
    <w:rsid w:val="008C7875"/>
    <w:rsid w:val="008D0074"/>
    <w:rsid w:val="008D0ABD"/>
    <w:rsid w:val="008D1E66"/>
    <w:rsid w:val="008D2164"/>
    <w:rsid w:val="008D2166"/>
    <w:rsid w:val="008D2234"/>
    <w:rsid w:val="008D311B"/>
    <w:rsid w:val="008D313B"/>
    <w:rsid w:val="008D3817"/>
    <w:rsid w:val="008D47A2"/>
    <w:rsid w:val="008D4B28"/>
    <w:rsid w:val="008D6051"/>
    <w:rsid w:val="008D6E71"/>
    <w:rsid w:val="008D7F67"/>
    <w:rsid w:val="008E12BE"/>
    <w:rsid w:val="008E1988"/>
    <w:rsid w:val="008E1A71"/>
    <w:rsid w:val="008E2B94"/>
    <w:rsid w:val="008E33D0"/>
    <w:rsid w:val="008E37B0"/>
    <w:rsid w:val="008E4F06"/>
    <w:rsid w:val="008E5099"/>
    <w:rsid w:val="008E545C"/>
    <w:rsid w:val="008E5B9F"/>
    <w:rsid w:val="008E76D7"/>
    <w:rsid w:val="008F0245"/>
    <w:rsid w:val="008F0884"/>
    <w:rsid w:val="008F0BA3"/>
    <w:rsid w:val="008F1819"/>
    <w:rsid w:val="008F1F5F"/>
    <w:rsid w:val="008F1F73"/>
    <w:rsid w:val="008F2D06"/>
    <w:rsid w:val="008F3221"/>
    <w:rsid w:val="008F3342"/>
    <w:rsid w:val="008F37C9"/>
    <w:rsid w:val="008F3BF5"/>
    <w:rsid w:val="008F41BE"/>
    <w:rsid w:val="008F4DB2"/>
    <w:rsid w:val="008F5989"/>
    <w:rsid w:val="008F6E86"/>
    <w:rsid w:val="008F7BF0"/>
    <w:rsid w:val="00900882"/>
    <w:rsid w:val="00901086"/>
    <w:rsid w:val="00902FC5"/>
    <w:rsid w:val="0090477C"/>
    <w:rsid w:val="00904932"/>
    <w:rsid w:val="009049DA"/>
    <w:rsid w:val="00904C83"/>
    <w:rsid w:val="00904F66"/>
    <w:rsid w:val="00905B71"/>
    <w:rsid w:val="00906879"/>
    <w:rsid w:val="00910163"/>
    <w:rsid w:val="00912989"/>
    <w:rsid w:val="00912A49"/>
    <w:rsid w:val="00912DD0"/>
    <w:rsid w:val="00913546"/>
    <w:rsid w:val="00914BE6"/>
    <w:rsid w:val="00915693"/>
    <w:rsid w:val="00917463"/>
    <w:rsid w:val="00917C42"/>
    <w:rsid w:val="00917F36"/>
    <w:rsid w:val="00920BEE"/>
    <w:rsid w:val="00920DF7"/>
    <w:rsid w:val="0092150E"/>
    <w:rsid w:val="00921C52"/>
    <w:rsid w:val="00922947"/>
    <w:rsid w:val="009234A1"/>
    <w:rsid w:val="00923C84"/>
    <w:rsid w:val="00924285"/>
    <w:rsid w:val="00924AFB"/>
    <w:rsid w:val="00924D3B"/>
    <w:rsid w:val="00924FDC"/>
    <w:rsid w:val="009253F8"/>
    <w:rsid w:val="00926770"/>
    <w:rsid w:val="00926CB7"/>
    <w:rsid w:val="00927051"/>
    <w:rsid w:val="00927380"/>
    <w:rsid w:val="00927885"/>
    <w:rsid w:val="00927E26"/>
    <w:rsid w:val="0093075D"/>
    <w:rsid w:val="00930805"/>
    <w:rsid w:val="00930FFD"/>
    <w:rsid w:val="009311E6"/>
    <w:rsid w:val="00932801"/>
    <w:rsid w:val="00932ECB"/>
    <w:rsid w:val="009334AD"/>
    <w:rsid w:val="0093458C"/>
    <w:rsid w:val="009345C3"/>
    <w:rsid w:val="00935A58"/>
    <w:rsid w:val="00935C0D"/>
    <w:rsid w:val="009365CE"/>
    <w:rsid w:val="00936897"/>
    <w:rsid w:val="009368DD"/>
    <w:rsid w:val="009369BA"/>
    <w:rsid w:val="00936C33"/>
    <w:rsid w:val="00937687"/>
    <w:rsid w:val="00937B68"/>
    <w:rsid w:val="00940675"/>
    <w:rsid w:val="00940821"/>
    <w:rsid w:val="00940E82"/>
    <w:rsid w:val="00941487"/>
    <w:rsid w:val="0094166B"/>
    <w:rsid w:val="00941732"/>
    <w:rsid w:val="009418B4"/>
    <w:rsid w:val="009441C2"/>
    <w:rsid w:val="00944334"/>
    <w:rsid w:val="00945178"/>
    <w:rsid w:val="00945887"/>
    <w:rsid w:val="00950366"/>
    <w:rsid w:val="00950407"/>
    <w:rsid w:val="009504CB"/>
    <w:rsid w:val="00950511"/>
    <w:rsid w:val="00950594"/>
    <w:rsid w:val="009506B3"/>
    <w:rsid w:val="009509A6"/>
    <w:rsid w:val="00950C30"/>
    <w:rsid w:val="00950ECE"/>
    <w:rsid w:val="00951485"/>
    <w:rsid w:val="00951655"/>
    <w:rsid w:val="009517F9"/>
    <w:rsid w:val="00952408"/>
    <w:rsid w:val="009524DC"/>
    <w:rsid w:val="009525DB"/>
    <w:rsid w:val="009527E0"/>
    <w:rsid w:val="0095288B"/>
    <w:rsid w:val="00953530"/>
    <w:rsid w:val="00953A1A"/>
    <w:rsid w:val="00953EA5"/>
    <w:rsid w:val="00954C09"/>
    <w:rsid w:val="00954CC0"/>
    <w:rsid w:val="00954EFA"/>
    <w:rsid w:val="00954F14"/>
    <w:rsid w:val="009559FB"/>
    <w:rsid w:val="00955B08"/>
    <w:rsid w:val="00955E6E"/>
    <w:rsid w:val="00956084"/>
    <w:rsid w:val="009562AB"/>
    <w:rsid w:val="00957522"/>
    <w:rsid w:val="009576BF"/>
    <w:rsid w:val="00957B30"/>
    <w:rsid w:val="00960093"/>
    <w:rsid w:val="00960489"/>
    <w:rsid w:val="009607D1"/>
    <w:rsid w:val="00960C97"/>
    <w:rsid w:val="00962E5C"/>
    <w:rsid w:val="00963372"/>
    <w:rsid w:val="0096397E"/>
    <w:rsid w:val="00964071"/>
    <w:rsid w:val="00965AC9"/>
    <w:rsid w:val="00966085"/>
    <w:rsid w:val="009660DB"/>
    <w:rsid w:val="009664A5"/>
    <w:rsid w:val="009666CE"/>
    <w:rsid w:val="00966BC3"/>
    <w:rsid w:val="009677D3"/>
    <w:rsid w:val="00967BCA"/>
    <w:rsid w:val="00967FD8"/>
    <w:rsid w:val="009707A8"/>
    <w:rsid w:val="00970A88"/>
    <w:rsid w:val="00970B96"/>
    <w:rsid w:val="00970FB4"/>
    <w:rsid w:val="009715BB"/>
    <w:rsid w:val="009716A8"/>
    <w:rsid w:val="00971B6F"/>
    <w:rsid w:val="00973448"/>
    <w:rsid w:val="00973C55"/>
    <w:rsid w:val="0097450F"/>
    <w:rsid w:val="00974795"/>
    <w:rsid w:val="00975CBD"/>
    <w:rsid w:val="00976D43"/>
    <w:rsid w:val="009775F1"/>
    <w:rsid w:val="00977941"/>
    <w:rsid w:val="00980297"/>
    <w:rsid w:val="00980671"/>
    <w:rsid w:val="009811C7"/>
    <w:rsid w:val="009813F2"/>
    <w:rsid w:val="00981B71"/>
    <w:rsid w:val="00981CDC"/>
    <w:rsid w:val="0098231A"/>
    <w:rsid w:val="009823E0"/>
    <w:rsid w:val="00982DF0"/>
    <w:rsid w:val="00982E6F"/>
    <w:rsid w:val="009841B2"/>
    <w:rsid w:val="00985323"/>
    <w:rsid w:val="009854B8"/>
    <w:rsid w:val="00985726"/>
    <w:rsid w:val="00985D36"/>
    <w:rsid w:val="009863B7"/>
    <w:rsid w:val="00986DDB"/>
    <w:rsid w:val="0098794D"/>
    <w:rsid w:val="00987E06"/>
    <w:rsid w:val="00990B99"/>
    <w:rsid w:val="00991880"/>
    <w:rsid w:val="00992343"/>
    <w:rsid w:val="0099269E"/>
    <w:rsid w:val="009927BB"/>
    <w:rsid w:val="00993365"/>
    <w:rsid w:val="00993C4A"/>
    <w:rsid w:val="00993EAD"/>
    <w:rsid w:val="009942BF"/>
    <w:rsid w:val="009954FC"/>
    <w:rsid w:val="009961DE"/>
    <w:rsid w:val="009966AA"/>
    <w:rsid w:val="009968BC"/>
    <w:rsid w:val="00996AA6"/>
    <w:rsid w:val="0099701C"/>
    <w:rsid w:val="00997E64"/>
    <w:rsid w:val="009A026C"/>
    <w:rsid w:val="009A03C8"/>
    <w:rsid w:val="009A1437"/>
    <w:rsid w:val="009A14F9"/>
    <w:rsid w:val="009A237B"/>
    <w:rsid w:val="009A2AF5"/>
    <w:rsid w:val="009A2BB7"/>
    <w:rsid w:val="009A3011"/>
    <w:rsid w:val="009A3C13"/>
    <w:rsid w:val="009A5141"/>
    <w:rsid w:val="009A5A58"/>
    <w:rsid w:val="009A661F"/>
    <w:rsid w:val="009A71E0"/>
    <w:rsid w:val="009A785F"/>
    <w:rsid w:val="009A789F"/>
    <w:rsid w:val="009B0361"/>
    <w:rsid w:val="009B0609"/>
    <w:rsid w:val="009B1ACE"/>
    <w:rsid w:val="009B2BF8"/>
    <w:rsid w:val="009B459B"/>
    <w:rsid w:val="009B474C"/>
    <w:rsid w:val="009B5599"/>
    <w:rsid w:val="009B6776"/>
    <w:rsid w:val="009B6ACC"/>
    <w:rsid w:val="009B7500"/>
    <w:rsid w:val="009B7815"/>
    <w:rsid w:val="009B7E0D"/>
    <w:rsid w:val="009C014E"/>
    <w:rsid w:val="009C2664"/>
    <w:rsid w:val="009C30EC"/>
    <w:rsid w:val="009C38EC"/>
    <w:rsid w:val="009C41FD"/>
    <w:rsid w:val="009C42B2"/>
    <w:rsid w:val="009C4F15"/>
    <w:rsid w:val="009C5E96"/>
    <w:rsid w:val="009C73DA"/>
    <w:rsid w:val="009D0765"/>
    <w:rsid w:val="009D1530"/>
    <w:rsid w:val="009D2B84"/>
    <w:rsid w:val="009D30FF"/>
    <w:rsid w:val="009D3E5A"/>
    <w:rsid w:val="009D4492"/>
    <w:rsid w:val="009D457F"/>
    <w:rsid w:val="009D55FA"/>
    <w:rsid w:val="009D5776"/>
    <w:rsid w:val="009D6DB2"/>
    <w:rsid w:val="009D705B"/>
    <w:rsid w:val="009E01AB"/>
    <w:rsid w:val="009E23E2"/>
    <w:rsid w:val="009E2AC7"/>
    <w:rsid w:val="009E2E11"/>
    <w:rsid w:val="009E2EB0"/>
    <w:rsid w:val="009E352E"/>
    <w:rsid w:val="009E389D"/>
    <w:rsid w:val="009E4DC2"/>
    <w:rsid w:val="009E533F"/>
    <w:rsid w:val="009E562B"/>
    <w:rsid w:val="009E5C7D"/>
    <w:rsid w:val="009E6176"/>
    <w:rsid w:val="009E648A"/>
    <w:rsid w:val="009E6987"/>
    <w:rsid w:val="009E71E4"/>
    <w:rsid w:val="009F0226"/>
    <w:rsid w:val="009F0CB5"/>
    <w:rsid w:val="009F16F0"/>
    <w:rsid w:val="009F16F1"/>
    <w:rsid w:val="009F1CB3"/>
    <w:rsid w:val="009F2DDE"/>
    <w:rsid w:val="009F2EB3"/>
    <w:rsid w:val="009F32CF"/>
    <w:rsid w:val="009F3498"/>
    <w:rsid w:val="009F3D22"/>
    <w:rsid w:val="009F3F1A"/>
    <w:rsid w:val="009F4B81"/>
    <w:rsid w:val="009F4D51"/>
    <w:rsid w:val="009F554A"/>
    <w:rsid w:val="009F5A35"/>
    <w:rsid w:val="009F65F3"/>
    <w:rsid w:val="009F662C"/>
    <w:rsid w:val="009F74DF"/>
    <w:rsid w:val="009F7A01"/>
    <w:rsid w:val="009F7A4E"/>
    <w:rsid w:val="009F7B5F"/>
    <w:rsid w:val="009F7C25"/>
    <w:rsid w:val="00A00CE7"/>
    <w:rsid w:val="00A01032"/>
    <w:rsid w:val="00A013CB"/>
    <w:rsid w:val="00A016B9"/>
    <w:rsid w:val="00A016BF"/>
    <w:rsid w:val="00A0170C"/>
    <w:rsid w:val="00A017D8"/>
    <w:rsid w:val="00A01B71"/>
    <w:rsid w:val="00A0207E"/>
    <w:rsid w:val="00A02C19"/>
    <w:rsid w:val="00A02CB2"/>
    <w:rsid w:val="00A03348"/>
    <w:rsid w:val="00A03C99"/>
    <w:rsid w:val="00A04229"/>
    <w:rsid w:val="00A04CE2"/>
    <w:rsid w:val="00A0507D"/>
    <w:rsid w:val="00A05B9E"/>
    <w:rsid w:val="00A05DFA"/>
    <w:rsid w:val="00A06262"/>
    <w:rsid w:val="00A06D93"/>
    <w:rsid w:val="00A06EF3"/>
    <w:rsid w:val="00A111E6"/>
    <w:rsid w:val="00A12982"/>
    <w:rsid w:val="00A1359A"/>
    <w:rsid w:val="00A135E0"/>
    <w:rsid w:val="00A13B04"/>
    <w:rsid w:val="00A13C2A"/>
    <w:rsid w:val="00A1524A"/>
    <w:rsid w:val="00A16537"/>
    <w:rsid w:val="00A169E4"/>
    <w:rsid w:val="00A17165"/>
    <w:rsid w:val="00A172BE"/>
    <w:rsid w:val="00A176C5"/>
    <w:rsid w:val="00A17763"/>
    <w:rsid w:val="00A17F8C"/>
    <w:rsid w:val="00A2046F"/>
    <w:rsid w:val="00A20AA5"/>
    <w:rsid w:val="00A20B8C"/>
    <w:rsid w:val="00A210B1"/>
    <w:rsid w:val="00A21C12"/>
    <w:rsid w:val="00A21D9A"/>
    <w:rsid w:val="00A21E45"/>
    <w:rsid w:val="00A21E54"/>
    <w:rsid w:val="00A236B5"/>
    <w:rsid w:val="00A2383B"/>
    <w:rsid w:val="00A23C0D"/>
    <w:rsid w:val="00A24947"/>
    <w:rsid w:val="00A251DB"/>
    <w:rsid w:val="00A25530"/>
    <w:rsid w:val="00A269DB"/>
    <w:rsid w:val="00A27D92"/>
    <w:rsid w:val="00A30068"/>
    <w:rsid w:val="00A30BFA"/>
    <w:rsid w:val="00A31828"/>
    <w:rsid w:val="00A31F14"/>
    <w:rsid w:val="00A31F25"/>
    <w:rsid w:val="00A33394"/>
    <w:rsid w:val="00A33708"/>
    <w:rsid w:val="00A33E79"/>
    <w:rsid w:val="00A3487F"/>
    <w:rsid w:val="00A366B4"/>
    <w:rsid w:val="00A36935"/>
    <w:rsid w:val="00A37E02"/>
    <w:rsid w:val="00A40420"/>
    <w:rsid w:val="00A415C4"/>
    <w:rsid w:val="00A43845"/>
    <w:rsid w:val="00A43E7C"/>
    <w:rsid w:val="00A440D7"/>
    <w:rsid w:val="00A44157"/>
    <w:rsid w:val="00A44E2F"/>
    <w:rsid w:val="00A45D72"/>
    <w:rsid w:val="00A46301"/>
    <w:rsid w:val="00A464B1"/>
    <w:rsid w:val="00A4766B"/>
    <w:rsid w:val="00A50763"/>
    <w:rsid w:val="00A50A6F"/>
    <w:rsid w:val="00A51FDF"/>
    <w:rsid w:val="00A53027"/>
    <w:rsid w:val="00A5346F"/>
    <w:rsid w:val="00A5367A"/>
    <w:rsid w:val="00A54087"/>
    <w:rsid w:val="00A54332"/>
    <w:rsid w:val="00A5486D"/>
    <w:rsid w:val="00A549BD"/>
    <w:rsid w:val="00A553E3"/>
    <w:rsid w:val="00A55FBE"/>
    <w:rsid w:val="00A565B8"/>
    <w:rsid w:val="00A57A81"/>
    <w:rsid w:val="00A600BA"/>
    <w:rsid w:val="00A610CD"/>
    <w:rsid w:val="00A62918"/>
    <w:rsid w:val="00A63460"/>
    <w:rsid w:val="00A63595"/>
    <w:rsid w:val="00A6390D"/>
    <w:rsid w:val="00A641BF"/>
    <w:rsid w:val="00A643BB"/>
    <w:rsid w:val="00A65245"/>
    <w:rsid w:val="00A6581B"/>
    <w:rsid w:val="00A660B8"/>
    <w:rsid w:val="00A66137"/>
    <w:rsid w:val="00A665C1"/>
    <w:rsid w:val="00A667F3"/>
    <w:rsid w:val="00A67AB6"/>
    <w:rsid w:val="00A70D47"/>
    <w:rsid w:val="00A72DC2"/>
    <w:rsid w:val="00A7341D"/>
    <w:rsid w:val="00A73B68"/>
    <w:rsid w:val="00A74472"/>
    <w:rsid w:val="00A752BA"/>
    <w:rsid w:val="00A75A50"/>
    <w:rsid w:val="00A75A90"/>
    <w:rsid w:val="00A75E44"/>
    <w:rsid w:val="00A765DB"/>
    <w:rsid w:val="00A76E16"/>
    <w:rsid w:val="00A77747"/>
    <w:rsid w:val="00A7775D"/>
    <w:rsid w:val="00A77FD8"/>
    <w:rsid w:val="00A804A9"/>
    <w:rsid w:val="00A809CA"/>
    <w:rsid w:val="00A81C60"/>
    <w:rsid w:val="00A81FFA"/>
    <w:rsid w:val="00A823EE"/>
    <w:rsid w:val="00A82986"/>
    <w:rsid w:val="00A838F1"/>
    <w:rsid w:val="00A83B29"/>
    <w:rsid w:val="00A83C2F"/>
    <w:rsid w:val="00A857DB"/>
    <w:rsid w:val="00A85DF7"/>
    <w:rsid w:val="00A863AC"/>
    <w:rsid w:val="00A906DE"/>
    <w:rsid w:val="00A932ED"/>
    <w:rsid w:val="00A940E8"/>
    <w:rsid w:val="00A944DF"/>
    <w:rsid w:val="00AA028C"/>
    <w:rsid w:val="00AA10B5"/>
    <w:rsid w:val="00AA117A"/>
    <w:rsid w:val="00AA13D6"/>
    <w:rsid w:val="00AA179D"/>
    <w:rsid w:val="00AA27A1"/>
    <w:rsid w:val="00AA375D"/>
    <w:rsid w:val="00AA3D10"/>
    <w:rsid w:val="00AA3D46"/>
    <w:rsid w:val="00AA4AE6"/>
    <w:rsid w:val="00AA4E69"/>
    <w:rsid w:val="00AA522E"/>
    <w:rsid w:val="00AA6563"/>
    <w:rsid w:val="00AA668D"/>
    <w:rsid w:val="00AA6967"/>
    <w:rsid w:val="00AA6BD3"/>
    <w:rsid w:val="00AA7027"/>
    <w:rsid w:val="00AA70CE"/>
    <w:rsid w:val="00AB0406"/>
    <w:rsid w:val="00AB04BD"/>
    <w:rsid w:val="00AB20C6"/>
    <w:rsid w:val="00AB29E6"/>
    <w:rsid w:val="00AB2F1D"/>
    <w:rsid w:val="00AB54F7"/>
    <w:rsid w:val="00AB5502"/>
    <w:rsid w:val="00AB5787"/>
    <w:rsid w:val="00AB59E9"/>
    <w:rsid w:val="00AB60F9"/>
    <w:rsid w:val="00AB6822"/>
    <w:rsid w:val="00AB7225"/>
    <w:rsid w:val="00AB728B"/>
    <w:rsid w:val="00AB7611"/>
    <w:rsid w:val="00AB7759"/>
    <w:rsid w:val="00AC09F2"/>
    <w:rsid w:val="00AC14A9"/>
    <w:rsid w:val="00AC1F17"/>
    <w:rsid w:val="00AC216B"/>
    <w:rsid w:val="00AC2B51"/>
    <w:rsid w:val="00AC3908"/>
    <w:rsid w:val="00AC4F1A"/>
    <w:rsid w:val="00AC4FB0"/>
    <w:rsid w:val="00AC6B72"/>
    <w:rsid w:val="00AD031B"/>
    <w:rsid w:val="00AD0411"/>
    <w:rsid w:val="00AD04B3"/>
    <w:rsid w:val="00AD0705"/>
    <w:rsid w:val="00AD085F"/>
    <w:rsid w:val="00AD0A0A"/>
    <w:rsid w:val="00AD0AA8"/>
    <w:rsid w:val="00AD0FBB"/>
    <w:rsid w:val="00AD1092"/>
    <w:rsid w:val="00AD120B"/>
    <w:rsid w:val="00AD1B4B"/>
    <w:rsid w:val="00AD1D05"/>
    <w:rsid w:val="00AD1F1C"/>
    <w:rsid w:val="00AD268F"/>
    <w:rsid w:val="00AD313C"/>
    <w:rsid w:val="00AD3372"/>
    <w:rsid w:val="00AD3B3F"/>
    <w:rsid w:val="00AD3C60"/>
    <w:rsid w:val="00AD4401"/>
    <w:rsid w:val="00AD59A0"/>
    <w:rsid w:val="00AD63D7"/>
    <w:rsid w:val="00AD6877"/>
    <w:rsid w:val="00AD6AF6"/>
    <w:rsid w:val="00AD6D35"/>
    <w:rsid w:val="00AD71B6"/>
    <w:rsid w:val="00AD7F08"/>
    <w:rsid w:val="00AE034F"/>
    <w:rsid w:val="00AE0C11"/>
    <w:rsid w:val="00AE106F"/>
    <w:rsid w:val="00AE170C"/>
    <w:rsid w:val="00AE3105"/>
    <w:rsid w:val="00AE3414"/>
    <w:rsid w:val="00AE3AF9"/>
    <w:rsid w:val="00AE41BE"/>
    <w:rsid w:val="00AE4DC6"/>
    <w:rsid w:val="00AE508A"/>
    <w:rsid w:val="00AE54D4"/>
    <w:rsid w:val="00AE5A50"/>
    <w:rsid w:val="00AE5BD6"/>
    <w:rsid w:val="00AE63B5"/>
    <w:rsid w:val="00AE707B"/>
    <w:rsid w:val="00AE710D"/>
    <w:rsid w:val="00AE74A1"/>
    <w:rsid w:val="00AF031B"/>
    <w:rsid w:val="00AF0A30"/>
    <w:rsid w:val="00AF1A54"/>
    <w:rsid w:val="00AF232E"/>
    <w:rsid w:val="00AF2F1F"/>
    <w:rsid w:val="00AF3174"/>
    <w:rsid w:val="00AF3DCB"/>
    <w:rsid w:val="00AF3E01"/>
    <w:rsid w:val="00AF46AC"/>
    <w:rsid w:val="00AF49D5"/>
    <w:rsid w:val="00AF5331"/>
    <w:rsid w:val="00AF6B54"/>
    <w:rsid w:val="00B000A1"/>
    <w:rsid w:val="00B00205"/>
    <w:rsid w:val="00B0027C"/>
    <w:rsid w:val="00B024BD"/>
    <w:rsid w:val="00B024D4"/>
    <w:rsid w:val="00B025F6"/>
    <w:rsid w:val="00B02D61"/>
    <w:rsid w:val="00B031CE"/>
    <w:rsid w:val="00B03E1E"/>
    <w:rsid w:val="00B0413D"/>
    <w:rsid w:val="00B04D2C"/>
    <w:rsid w:val="00B0535D"/>
    <w:rsid w:val="00B06D61"/>
    <w:rsid w:val="00B0751F"/>
    <w:rsid w:val="00B1014B"/>
    <w:rsid w:val="00B10C13"/>
    <w:rsid w:val="00B116C7"/>
    <w:rsid w:val="00B1193B"/>
    <w:rsid w:val="00B13283"/>
    <w:rsid w:val="00B14F22"/>
    <w:rsid w:val="00B153B5"/>
    <w:rsid w:val="00B1631E"/>
    <w:rsid w:val="00B17CF1"/>
    <w:rsid w:val="00B203ED"/>
    <w:rsid w:val="00B204ED"/>
    <w:rsid w:val="00B2072B"/>
    <w:rsid w:val="00B214A8"/>
    <w:rsid w:val="00B225FC"/>
    <w:rsid w:val="00B22AE7"/>
    <w:rsid w:val="00B22CDF"/>
    <w:rsid w:val="00B23C51"/>
    <w:rsid w:val="00B23F56"/>
    <w:rsid w:val="00B2404C"/>
    <w:rsid w:val="00B24635"/>
    <w:rsid w:val="00B24680"/>
    <w:rsid w:val="00B24B2A"/>
    <w:rsid w:val="00B24E71"/>
    <w:rsid w:val="00B24FAA"/>
    <w:rsid w:val="00B26474"/>
    <w:rsid w:val="00B264B6"/>
    <w:rsid w:val="00B27208"/>
    <w:rsid w:val="00B27F92"/>
    <w:rsid w:val="00B31F66"/>
    <w:rsid w:val="00B32CE0"/>
    <w:rsid w:val="00B32EDC"/>
    <w:rsid w:val="00B335EB"/>
    <w:rsid w:val="00B3467E"/>
    <w:rsid w:val="00B346E4"/>
    <w:rsid w:val="00B35B5B"/>
    <w:rsid w:val="00B36097"/>
    <w:rsid w:val="00B364CE"/>
    <w:rsid w:val="00B366C4"/>
    <w:rsid w:val="00B367D4"/>
    <w:rsid w:val="00B3699F"/>
    <w:rsid w:val="00B369C7"/>
    <w:rsid w:val="00B37031"/>
    <w:rsid w:val="00B37043"/>
    <w:rsid w:val="00B377AB"/>
    <w:rsid w:val="00B401E8"/>
    <w:rsid w:val="00B4231D"/>
    <w:rsid w:val="00B423BB"/>
    <w:rsid w:val="00B42B48"/>
    <w:rsid w:val="00B44124"/>
    <w:rsid w:val="00B44D3E"/>
    <w:rsid w:val="00B45467"/>
    <w:rsid w:val="00B456CB"/>
    <w:rsid w:val="00B45968"/>
    <w:rsid w:val="00B45AB0"/>
    <w:rsid w:val="00B45DD5"/>
    <w:rsid w:val="00B45F1B"/>
    <w:rsid w:val="00B46754"/>
    <w:rsid w:val="00B46B6F"/>
    <w:rsid w:val="00B46E49"/>
    <w:rsid w:val="00B4731B"/>
    <w:rsid w:val="00B47C03"/>
    <w:rsid w:val="00B50A0F"/>
    <w:rsid w:val="00B51AEA"/>
    <w:rsid w:val="00B52EDB"/>
    <w:rsid w:val="00B5315A"/>
    <w:rsid w:val="00B550C6"/>
    <w:rsid w:val="00B5530F"/>
    <w:rsid w:val="00B55642"/>
    <w:rsid w:val="00B5573A"/>
    <w:rsid w:val="00B557E9"/>
    <w:rsid w:val="00B55972"/>
    <w:rsid w:val="00B5749E"/>
    <w:rsid w:val="00B576B8"/>
    <w:rsid w:val="00B57EBF"/>
    <w:rsid w:val="00B57F30"/>
    <w:rsid w:val="00B6002F"/>
    <w:rsid w:val="00B60F29"/>
    <w:rsid w:val="00B61201"/>
    <w:rsid w:val="00B61F7E"/>
    <w:rsid w:val="00B630E0"/>
    <w:rsid w:val="00B636E7"/>
    <w:rsid w:val="00B636FE"/>
    <w:rsid w:val="00B638DB"/>
    <w:rsid w:val="00B639CB"/>
    <w:rsid w:val="00B6484D"/>
    <w:rsid w:val="00B65938"/>
    <w:rsid w:val="00B6684F"/>
    <w:rsid w:val="00B66969"/>
    <w:rsid w:val="00B675DF"/>
    <w:rsid w:val="00B67881"/>
    <w:rsid w:val="00B70729"/>
    <w:rsid w:val="00B716DA"/>
    <w:rsid w:val="00B71B62"/>
    <w:rsid w:val="00B72114"/>
    <w:rsid w:val="00B7221A"/>
    <w:rsid w:val="00B73B12"/>
    <w:rsid w:val="00B7433A"/>
    <w:rsid w:val="00B76525"/>
    <w:rsid w:val="00B76668"/>
    <w:rsid w:val="00B76A2B"/>
    <w:rsid w:val="00B76A47"/>
    <w:rsid w:val="00B76A5D"/>
    <w:rsid w:val="00B775AC"/>
    <w:rsid w:val="00B77980"/>
    <w:rsid w:val="00B801C3"/>
    <w:rsid w:val="00B809FA"/>
    <w:rsid w:val="00B8125E"/>
    <w:rsid w:val="00B8185D"/>
    <w:rsid w:val="00B81940"/>
    <w:rsid w:val="00B81B91"/>
    <w:rsid w:val="00B8226E"/>
    <w:rsid w:val="00B82E80"/>
    <w:rsid w:val="00B8483C"/>
    <w:rsid w:val="00B84FB1"/>
    <w:rsid w:val="00B84FCE"/>
    <w:rsid w:val="00B85877"/>
    <w:rsid w:val="00B8605C"/>
    <w:rsid w:val="00B8644E"/>
    <w:rsid w:val="00B86AD9"/>
    <w:rsid w:val="00B8714A"/>
    <w:rsid w:val="00B878EF"/>
    <w:rsid w:val="00B87B95"/>
    <w:rsid w:val="00B87C19"/>
    <w:rsid w:val="00B90041"/>
    <w:rsid w:val="00B903B0"/>
    <w:rsid w:val="00B904B7"/>
    <w:rsid w:val="00B91002"/>
    <w:rsid w:val="00B92D0E"/>
    <w:rsid w:val="00B93007"/>
    <w:rsid w:val="00B93853"/>
    <w:rsid w:val="00B94769"/>
    <w:rsid w:val="00B94950"/>
    <w:rsid w:val="00B95318"/>
    <w:rsid w:val="00B95CBE"/>
    <w:rsid w:val="00B965FE"/>
    <w:rsid w:val="00B96611"/>
    <w:rsid w:val="00B9668C"/>
    <w:rsid w:val="00B96D66"/>
    <w:rsid w:val="00B97257"/>
    <w:rsid w:val="00B973AF"/>
    <w:rsid w:val="00BA0D1B"/>
    <w:rsid w:val="00BA13D6"/>
    <w:rsid w:val="00BA1849"/>
    <w:rsid w:val="00BA25D5"/>
    <w:rsid w:val="00BA26F9"/>
    <w:rsid w:val="00BA2B8A"/>
    <w:rsid w:val="00BA3800"/>
    <w:rsid w:val="00BA3BD1"/>
    <w:rsid w:val="00BA444A"/>
    <w:rsid w:val="00BA52C1"/>
    <w:rsid w:val="00BA55CA"/>
    <w:rsid w:val="00BA5B77"/>
    <w:rsid w:val="00BA64D1"/>
    <w:rsid w:val="00BA7F9E"/>
    <w:rsid w:val="00BB0434"/>
    <w:rsid w:val="00BB0E8A"/>
    <w:rsid w:val="00BB1839"/>
    <w:rsid w:val="00BB1F3B"/>
    <w:rsid w:val="00BB28CB"/>
    <w:rsid w:val="00BB2D2C"/>
    <w:rsid w:val="00BB2DDB"/>
    <w:rsid w:val="00BB37A9"/>
    <w:rsid w:val="00BB3843"/>
    <w:rsid w:val="00BB3D95"/>
    <w:rsid w:val="00BB3F38"/>
    <w:rsid w:val="00BB4617"/>
    <w:rsid w:val="00BB4A65"/>
    <w:rsid w:val="00BB57AA"/>
    <w:rsid w:val="00BB5E13"/>
    <w:rsid w:val="00BB6277"/>
    <w:rsid w:val="00BB6BAD"/>
    <w:rsid w:val="00BB6DA7"/>
    <w:rsid w:val="00BB6DEB"/>
    <w:rsid w:val="00BB6DFC"/>
    <w:rsid w:val="00BB7417"/>
    <w:rsid w:val="00BB7CFE"/>
    <w:rsid w:val="00BC0079"/>
    <w:rsid w:val="00BC0258"/>
    <w:rsid w:val="00BC0C95"/>
    <w:rsid w:val="00BC0D00"/>
    <w:rsid w:val="00BC0E27"/>
    <w:rsid w:val="00BC15D2"/>
    <w:rsid w:val="00BC1729"/>
    <w:rsid w:val="00BC17E6"/>
    <w:rsid w:val="00BC1861"/>
    <w:rsid w:val="00BC2073"/>
    <w:rsid w:val="00BC2553"/>
    <w:rsid w:val="00BC37EC"/>
    <w:rsid w:val="00BC41BF"/>
    <w:rsid w:val="00BC44B7"/>
    <w:rsid w:val="00BC4C19"/>
    <w:rsid w:val="00BC5529"/>
    <w:rsid w:val="00BC5784"/>
    <w:rsid w:val="00BC5E99"/>
    <w:rsid w:val="00BD008F"/>
    <w:rsid w:val="00BD06E5"/>
    <w:rsid w:val="00BD0862"/>
    <w:rsid w:val="00BD0959"/>
    <w:rsid w:val="00BD18C5"/>
    <w:rsid w:val="00BD18FF"/>
    <w:rsid w:val="00BD25B3"/>
    <w:rsid w:val="00BD2B50"/>
    <w:rsid w:val="00BD31DC"/>
    <w:rsid w:val="00BD3AFD"/>
    <w:rsid w:val="00BD4707"/>
    <w:rsid w:val="00BD4758"/>
    <w:rsid w:val="00BD6672"/>
    <w:rsid w:val="00BD6B40"/>
    <w:rsid w:val="00BD7044"/>
    <w:rsid w:val="00BD717D"/>
    <w:rsid w:val="00BE180B"/>
    <w:rsid w:val="00BE1DBF"/>
    <w:rsid w:val="00BE3BB4"/>
    <w:rsid w:val="00BE4610"/>
    <w:rsid w:val="00BE4F3B"/>
    <w:rsid w:val="00BE5AAD"/>
    <w:rsid w:val="00BE70E3"/>
    <w:rsid w:val="00BE73C3"/>
    <w:rsid w:val="00BE77FF"/>
    <w:rsid w:val="00BE7C22"/>
    <w:rsid w:val="00BE7DBE"/>
    <w:rsid w:val="00BF25D2"/>
    <w:rsid w:val="00BF30D4"/>
    <w:rsid w:val="00BF33BC"/>
    <w:rsid w:val="00BF34C7"/>
    <w:rsid w:val="00BF402D"/>
    <w:rsid w:val="00BF4563"/>
    <w:rsid w:val="00BF46B7"/>
    <w:rsid w:val="00BF5051"/>
    <w:rsid w:val="00BF5159"/>
    <w:rsid w:val="00BF5240"/>
    <w:rsid w:val="00BF55EC"/>
    <w:rsid w:val="00BF57A9"/>
    <w:rsid w:val="00BF5A0C"/>
    <w:rsid w:val="00BF5BFB"/>
    <w:rsid w:val="00BF6848"/>
    <w:rsid w:val="00BF6A3C"/>
    <w:rsid w:val="00BF6BCA"/>
    <w:rsid w:val="00BF6C5B"/>
    <w:rsid w:val="00BF7DB7"/>
    <w:rsid w:val="00BF7F14"/>
    <w:rsid w:val="00C005F5"/>
    <w:rsid w:val="00C008CF"/>
    <w:rsid w:val="00C019B3"/>
    <w:rsid w:val="00C01C05"/>
    <w:rsid w:val="00C0220F"/>
    <w:rsid w:val="00C045EE"/>
    <w:rsid w:val="00C04793"/>
    <w:rsid w:val="00C04A15"/>
    <w:rsid w:val="00C04A20"/>
    <w:rsid w:val="00C04C55"/>
    <w:rsid w:val="00C06481"/>
    <w:rsid w:val="00C07A9C"/>
    <w:rsid w:val="00C102C6"/>
    <w:rsid w:val="00C111DC"/>
    <w:rsid w:val="00C11673"/>
    <w:rsid w:val="00C12365"/>
    <w:rsid w:val="00C126DF"/>
    <w:rsid w:val="00C12A45"/>
    <w:rsid w:val="00C12CD0"/>
    <w:rsid w:val="00C12F01"/>
    <w:rsid w:val="00C132C3"/>
    <w:rsid w:val="00C13424"/>
    <w:rsid w:val="00C13B3F"/>
    <w:rsid w:val="00C14023"/>
    <w:rsid w:val="00C14206"/>
    <w:rsid w:val="00C142C6"/>
    <w:rsid w:val="00C147E2"/>
    <w:rsid w:val="00C16747"/>
    <w:rsid w:val="00C16C3F"/>
    <w:rsid w:val="00C1747F"/>
    <w:rsid w:val="00C17688"/>
    <w:rsid w:val="00C20202"/>
    <w:rsid w:val="00C211FE"/>
    <w:rsid w:val="00C2170A"/>
    <w:rsid w:val="00C21868"/>
    <w:rsid w:val="00C21BA2"/>
    <w:rsid w:val="00C21EF2"/>
    <w:rsid w:val="00C22BFD"/>
    <w:rsid w:val="00C239E2"/>
    <w:rsid w:val="00C24DF3"/>
    <w:rsid w:val="00C25770"/>
    <w:rsid w:val="00C25AB6"/>
    <w:rsid w:val="00C25EF3"/>
    <w:rsid w:val="00C26A04"/>
    <w:rsid w:val="00C26B8B"/>
    <w:rsid w:val="00C26FEF"/>
    <w:rsid w:val="00C277D7"/>
    <w:rsid w:val="00C301A4"/>
    <w:rsid w:val="00C30B08"/>
    <w:rsid w:val="00C30E57"/>
    <w:rsid w:val="00C31A63"/>
    <w:rsid w:val="00C32DCF"/>
    <w:rsid w:val="00C33740"/>
    <w:rsid w:val="00C33775"/>
    <w:rsid w:val="00C33EBC"/>
    <w:rsid w:val="00C340EA"/>
    <w:rsid w:val="00C3452A"/>
    <w:rsid w:val="00C34818"/>
    <w:rsid w:val="00C348A9"/>
    <w:rsid w:val="00C34D29"/>
    <w:rsid w:val="00C35411"/>
    <w:rsid w:val="00C36156"/>
    <w:rsid w:val="00C37730"/>
    <w:rsid w:val="00C405F6"/>
    <w:rsid w:val="00C4106C"/>
    <w:rsid w:val="00C414C3"/>
    <w:rsid w:val="00C416F7"/>
    <w:rsid w:val="00C417A7"/>
    <w:rsid w:val="00C41AA0"/>
    <w:rsid w:val="00C41E9C"/>
    <w:rsid w:val="00C42C2E"/>
    <w:rsid w:val="00C431D2"/>
    <w:rsid w:val="00C432B3"/>
    <w:rsid w:val="00C43301"/>
    <w:rsid w:val="00C44835"/>
    <w:rsid w:val="00C4547A"/>
    <w:rsid w:val="00C4568D"/>
    <w:rsid w:val="00C466E9"/>
    <w:rsid w:val="00C47524"/>
    <w:rsid w:val="00C47C5F"/>
    <w:rsid w:val="00C500B0"/>
    <w:rsid w:val="00C502FD"/>
    <w:rsid w:val="00C5038D"/>
    <w:rsid w:val="00C505DF"/>
    <w:rsid w:val="00C51A09"/>
    <w:rsid w:val="00C51B7A"/>
    <w:rsid w:val="00C5305C"/>
    <w:rsid w:val="00C53446"/>
    <w:rsid w:val="00C53898"/>
    <w:rsid w:val="00C54055"/>
    <w:rsid w:val="00C54AB2"/>
    <w:rsid w:val="00C54BDB"/>
    <w:rsid w:val="00C563A2"/>
    <w:rsid w:val="00C56D51"/>
    <w:rsid w:val="00C57560"/>
    <w:rsid w:val="00C575A5"/>
    <w:rsid w:val="00C60787"/>
    <w:rsid w:val="00C60903"/>
    <w:rsid w:val="00C613D2"/>
    <w:rsid w:val="00C62528"/>
    <w:rsid w:val="00C62827"/>
    <w:rsid w:val="00C6390E"/>
    <w:rsid w:val="00C6449C"/>
    <w:rsid w:val="00C65394"/>
    <w:rsid w:val="00C66BD2"/>
    <w:rsid w:val="00C66D3A"/>
    <w:rsid w:val="00C67326"/>
    <w:rsid w:val="00C67355"/>
    <w:rsid w:val="00C7070E"/>
    <w:rsid w:val="00C70827"/>
    <w:rsid w:val="00C71077"/>
    <w:rsid w:val="00C71594"/>
    <w:rsid w:val="00C71832"/>
    <w:rsid w:val="00C718E4"/>
    <w:rsid w:val="00C71947"/>
    <w:rsid w:val="00C71C37"/>
    <w:rsid w:val="00C729DE"/>
    <w:rsid w:val="00C72F32"/>
    <w:rsid w:val="00C73317"/>
    <w:rsid w:val="00C73562"/>
    <w:rsid w:val="00C73C61"/>
    <w:rsid w:val="00C755EE"/>
    <w:rsid w:val="00C75C39"/>
    <w:rsid w:val="00C76715"/>
    <w:rsid w:val="00C77B53"/>
    <w:rsid w:val="00C80F94"/>
    <w:rsid w:val="00C8104D"/>
    <w:rsid w:val="00C81A03"/>
    <w:rsid w:val="00C81FCF"/>
    <w:rsid w:val="00C83396"/>
    <w:rsid w:val="00C8368A"/>
    <w:rsid w:val="00C84359"/>
    <w:rsid w:val="00C84A1F"/>
    <w:rsid w:val="00C851A3"/>
    <w:rsid w:val="00C85249"/>
    <w:rsid w:val="00C8565D"/>
    <w:rsid w:val="00C86259"/>
    <w:rsid w:val="00C86D28"/>
    <w:rsid w:val="00C86F52"/>
    <w:rsid w:val="00C87117"/>
    <w:rsid w:val="00C8790B"/>
    <w:rsid w:val="00C902F4"/>
    <w:rsid w:val="00C90731"/>
    <w:rsid w:val="00C909B7"/>
    <w:rsid w:val="00C90AD8"/>
    <w:rsid w:val="00C91249"/>
    <w:rsid w:val="00C915D1"/>
    <w:rsid w:val="00C91A83"/>
    <w:rsid w:val="00C91CC0"/>
    <w:rsid w:val="00C91D80"/>
    <w:rsid w:val="00C92147"/>
    <w:rsid w:val="00C92346"/>
    <w:rsid w:val="00C92755"/>
    <w:rsid w:val="00C92D03"/>
    <w:rsid w:val="00C9388A"/>
    <w:rsid w:val="00C940F1"/>
    <w:rsid w:val="00C9414C"/>
    <w:rsid w:val="00C94C3D"/>
    <w:rsid w:val="00C955F9"/>
    <w:rsid w:val="00C95C38"/>
    <w:rsid w:val="00C95C85"/>
    <w:rsid w:val="00C961BB"/>
    <w:rsid w:val="00C965AD"/>
    <w:rsid w:val="00C97032"/>
    <w:rsid w:val="00C97183"/>
    <w:rsid w:val="00C973CA"/>
    <w:rsid w:val="00CA0E2C"/>
    <w:rsid w:val="00CA1F25"/>
    <w:rsid w:val="00CA1FD8"/>
    <w:rsid w:val="00CA327A"/>
    <w:rsid w:val="00CA4114"/>
    <w:rsid w:val="00CA4B47"/>
    <w:rsid w:val="00CA4BB7"/>
    <w:rsid w:val="00CA5942"/>
    <w:rsid w:val="00CA5C37"/>
    <w:rsid w:val="00CA6B7B"/>
    <w:rsid w:val="00CA6C24"/>
    <w:rsid w:val="00CA7ACA"/>
    <w:rsid w:val="00CA7CE6"/>
    <w:rsid w:val="00CA7E7A"/>
    <w:rsid w:val="00CB0755"/>
    <w:rsid w:val="00CB27C8"/>
    <w:rsid w:val="00CB309B"/>
    <w:rsid w:val="00CB345F"/>
    <w:rsid w:val="00CB392C"/>
    <w:rsid w:val="00CB39A0"/>
    <w:rsid w:val="00CB3E4C"/>
    <w:rsid w:val="00CB443F"/>
    <w:rsid w:val="00CB4B5F"/>
    <w:rsid w:val="00CB5694"/>
    <w:rsid w:val="00CB6688"/>
    <w:rsid w:val="00CB677E"/>
    <w:rsid w:val="00CB6D02"/>
    <w:rsid w:val="00CC042A"/>
    <w:rsid w:val="00CC0D8E"/>
    <w:rsid w:val="00CC0ED9"/>
    <w:rsid w:val="00CC1636"/>
    <w:rsid w:val="00CC1B69"/>
    <w:rsid w:val="00CC1FEA"/>
    <w:rsid w:val="00CC3007"/>
    <w:rsid w:val="00CC3043"/>
    <w:rsid w:val="00CC30B8"/>
    <w:rsid w:val="00CC43AB"/>
    <w:rsid w:val="00CC4A2D"/>
    <w:rsid w:val="00CC4C22"/>
    <w:rsid w:val="00CC4E1E"/>
    <w:rsid w:val="00CC5E4E"/>
    <w:rsid w:val="00CC6840"/>
    <w:rsid w:val="00CC6FAD"/>
    <w:rsid w:val="00CC7971"/>
    <w:rsid w:val="00CD0189"/>
    <w:rsid w:val="00CD09D9"/>
    <w:rsid w:val="00CD0A1D"/>
    <w:rsid w:val="00CD0D7B"/>
    <w:rsid w:val="00CD1272"/>
    <w:rsid w:val="00CD13BB"/>
    <w:rsid w:val="00CD1B73"/>
    <w:rsid w:val="00CD213E"/>
    <w:rsid w:val="00CD2E01"/>
    <w:rsid w:val="00CD3508"/>
    <w:rsid w:val="00CD3607"/>
    <w:rsid w:val="00CD3DB0"/>
    <w:rsid w:val="00CD4986"/>
    <w:rsid w:val="00CD5052"/>
    <w:rsid w:val="00CD56ED"/>
    <w:rsid w:val="00CD60E4"/>
    <w:rsid w:val="00CD6463"/>
    <w:rsid w:val="00CD72C2"/>
    <w:rsid w:val="00CD7921"/>
    <w:rsid w:val="00CD8290"/>
    <w:rsid w:val="00CE077E"/>
    <w:rsid w:val="00CE08A1"/>
    <w:rsid w:val="00CE0B55"/>
    <w:rsid w:val="00CE1DEF"/>
    <w:rsid w:val="00CE1E06"/>
    <w:rsid w:val="00CE227C"/>
    <w:rsid w:val="00CE3655"/>
    <w:rsid w:val="00CE3AAF"/>
    <w:rsid w:val="00CE3B76"/>
    <w:rsid w:val="00CE3FAB"/>
    <w:rsid w:val="00CE50A4"/>
    <w:rsid w:val="00CE5109"/>
    <w:rsid w:val="00CE5562"/>
    <w:rsid w:val="00CE5767"/>
    <w:rsid w:val="00CE5C09"/>
    <w:rsid w:val="00CE5ECE"/>
    <w:rsid w:val="00CE6928"/>
    <w:rsid w:val="00CE6D51"/>
    <w:rsid w:val="00CE6DE1"/>
    <w:rsid w:val="00CE7AFD"/>
    <w:rsid w:val="00CF04AD"/>
    <w:rsid w:val="00CF1193"/>
    <w:rsid w:val="00CF162F"/>
    <w:rsid w:val="00CF2E5E"/>
    <w:rsid w:val="00CF33B8"/>
    <w:rsid w:val="00CF3E2F"/>
    <w:rsid w:val="00CF424E"/>
    <w:rsid w:val="00CF51E5"/>
    <w:rsid w:val="00CF5320"/>
    <w:rsid w:val="00CF5AB5"/>
    <w:rsid w:val="00CF698C"/>
    <w:rsid w:val="00CF6EAC"/>
    <w:rsid w:val="00CF73DA"/>
    <w:rsid w:val="00CF77CD"/>
    <w:rsid w:val="00CF7F30"/>
    <w:rsid w:val="00D008A5"/>
    <w:rsid w:val="00D01219"/>
    <w:rsid w:val="00D0224C"/>
    <w:rsid w:val="00D024F0"/>
    <w:rsid w:val="00D030C3"/>
    <w:rsid w:val="00D04041"/>
    <w:rsid w:val="00D05A3E"/>
    <w:rsid w:val="00D05AB1"/>
    <w:rsid w:val="00D05B92"/>
    <w:rsid w:val="00D05D46"/>
    <w:rsid w:val="00D06938"/>
    <w:rsid w:val="00D077C3"/>
    <w:rsid w:val="00D1029B"/>
    <w:rsid w:val="00D10430"/>
    <w:rsid w:val="00D1100B"/>
    <w:rsid w:val="00D1102F"/>
    <w:rsid w:val="00D1113B"/>
    <w:rsid w:val="00D115D2"/>
    <w:rsid w:val="00D11A1D"/>
    <w:rsid w:val="00D11D50"/>
    <w:rsid w:val="00D1223D"/>
    <w:rsid w:val="00D124F8"/>
    <w:rsid w:val="00D129D7"/>
    <w:rsid w:val="00D12E59"/>
    <w:rsid w:val="00D12EE9"/>
    <w:rsid w:val="00D1313D"/>
    <w:rsid w:val="00D133FC"/>
    <w:rsid w:val="00D13FE4"/>
    <w:rsid w:val="00D1423C"/>
    <w:rsid w:val="00D14B34"/>
    <w:rsid w:val="00D154E7"/>
    <w:rsid w:val="00D15E9C"/>
    <w:rsid w:val="00D17DDF"/>
    <w:rsid w:val="00D17EA5"/>
    <w:rsid w:val="00D21063"/>
    <w:rsid w:val="00D210CB"/>
    <w:rsid w:val="00D23005"/>
    <w:rsid w:val="00D23FAD"/>
    <w:rsid w:val="00D2461C"/>
    <w:rsid w:val="00D24B25"/>
    <w:rsid w:val="00D24D75"/>
    <w:rsid w:val="00D24FDD"/>
    <w:rsid w:val="00D26164"/>
    <w:rsid w:val="00D26177"/>
    <w:rsid w:val="00D27056"/>
    <w:rsid w:val="00D27173"/>
    <w:rsid w:val="00D278DF"/>
    <w:rsid w:val="00D27B5F"/>
    <w:rsid w:val="00D30931"/>
    <w:rsid w:val="00D31002"/>
    <w:rsid w:val="00D32755"/>
    <w:rsid w:val="00D34880"/>
    <w:rsid w:val="00D34D5C"/>
    <w:rsid w:val="00D34F82"/>
    <w:rsid w:val="00D357AB"/>
    <w:rsid w:val="00D3599E"/>
    <w:rsid w:val="00D35A63"/>
    <w:rsid w:val="00D36565"/>
    <w:rsid w:val="00D369C2"/>
    <w:rsid w:val="00D36F7A"/>
    <w:rsid w:val="00D37B38"/>
    <w:rsid w:val="00D40A23"/>
    <w:rsid w:val="00D40B5F"/>
    <w:rsid w:val="00D416F3"/>
    <w:rsid w:val="00D41F8E"/>
    <w:rsid w:val="00D41FF9"/>
    <w:rsid w:val="00D422AC"/>
    <w:rsid w:val="00D42CFC"/>
    <w:rsid w:val="00D43B85"/>
    <w:rsid w:val="00D47253"/>
    <w:rsid w:val="00D500C8"/>
    <w:rsid w:val="00D50B84"/>
    <w:rsid w:val="00D50BB6"/>
    <w:rsid w:val="00D514AA"/>
    <w:rsid w:val="00D51B4A"/>
    <w:rsid w:val="00D52224"/>
    <w:rsid w:val="00D5412E"/>
    <w:rsid w:val="00D544A4"/>
    <w:rsid w:val="00D54643"/>
    <w:rsid w:val="00D55A93"/>
    <w:rsid w:val="00D55D9C"/>
    <w:rsid w:val="00D5601B"/>
    <w:rsid w:val="00D561F7"/>
    <w:rsid w:val="00D563A6"/>
    <w:rsid w:val="00D5646A"/>
    <w:rsid w:val="00D564E1"/>
    <w:rsid w:val="00D60171"/>
    <w:rsid w:val="00D6084A"/>
    <w:rsid w:val="00D61719"/>
    <w:rsid w:val="00D62596"/>
    <w:rsid w:val="00D625D3"/>
    <w:rsid w:val="00D62DF2"/>
    <w:rsid w:val="00D63652"/>
    <w:rsid w:val="00D63EBE"/>
    <w:rsid w:val="00D63F87"/>
    <w:rsid w:val="00D65FE3"/>
    <w:rsid w:val="00D66B36"/>
    <w:rsid w:val="00D676A7"/>
    <w:rsid w:val="00D67B54"/>
    <w:rsid w:val="00D70028"/>
    <w:rsid w:val="00D704AC"/>
    <w:rsid w:val="00D705A1"/>
    <w:rsid w:val="00D716CB"/>
    <w:rsid w:val="00D7229F"/>
    <w:rsid w:val="00D7266E"/>
    <w:rsid w:val="00D729BB"/>
    <w:rsid w:val="00D73DEB"/>
    <w:rsid w:val="00D74CEB"/>
    <w:rsid w:val="00D7549A"/>
    <w:rsid w:val="00D7589B"/>
    <w:rsid w:val="00D759C9"/>
    <w:rsid w:val="00D75FC6"/>
    <w:rsid w:val="00D76874"/>
    <w:rsid w:val="00D7688B"/>
    <w:rsid w:val="00D7799E"/>
    <w:rsid w:val="00D80563"/>
    <w:rsid w:val="00D80675"/>
    <w:rsid w:val="00D8089C"/>
    <w:rsid w:val="00D81DAA"/>
    <w:rsid w:val="00D824B5"/>
    <w:rsid w:val="00D83312"/>
    <w:rsid w:val="00D83752"/>
    <w:rsid w:val="00D843B6"/>
    <w:rsid w:val="00D84CC7"/>
    <w:rsid w:val="00D853CE"/>
    <w:rsid w:val="00D85BC0"/>
    <w:rsid w:val="00D86929"/>
    <w:rsid w:val="00D876AA"/>
    <w:rsid w:val="00D87B6D"/>
    <w:rsid w:val="00D91422"/>
    <w:rsid w:val="00D9216F"/>
    <w:rsid w:val="00D92B76"/>
    <w:rsid w:val="00D92F93"/>
    <w:rsid w:val="00D930B7"/>
    <w:rsid w:val="00D93612"/>
    <w:rsid w:val="00D9470A"/>
    <w:rsid w:val="00D94A5A"/>
    <w:rsid w:val="00D94A92"/>
    <w:rsid w:val="00D94CA5"/>
    <w:rsid w:val="00D95791"/>
    <w:rsid w:val="00D96167"/>
    <w:rsid w:val="00D97847"/>
    <w:rsid w:val="00D97AF9"/>
    <w:rsid w:val="00DA01A3"/>
    <w:rsid w:val="00DA01DE"/>
    <w:rsid w:val="00DA0533"/>
    <w:rsid w:val="00DA0A84"/>
    <w:rsid w:val="00DA1592"/>
    <w:rsid w:val="00DA33E2"/>
    <w:rsid w:val="00DA3549"/>
    <w:rsid w:val="00DA4994"/>
    <w:rsid w:val="00DA55D8"/>
    <w:rsid w:val="00DA577F"/>
    <w:rsid w:val="00DA5A4C"/>
    <w:rsid w:val="00DA612F"/>
    <w:rsid w:val="00DA6D21"/>
    <w:rsid w:val="00DA761E"/>
    <w:rsid w:val="00DA7646"/>
    <w:rsid w:val="00DB0127"/>
    <w:rsid w:val="00DB0177"/>
    <w:rsid w:val="00DB105E"/>
    <w:rsid w:val="00DB27BF"/>
    <w:rsid w:val="00DB2C59"/>
    <w:rsid w:val="00DB2DA5"/>
    <w:rsid w:val="00DB5ADF"/>
    <w:rsid w:val="00DB5BBE"/>
    <w:rsid w:val="00DB5C53"/>
    <w:rsid w:val="00DB6C12"/>
    <w:rsid w:val="00DB6E2D"/>
    <w:rsid w:val="00DB72EA"/>
    <w:rsid w:val="00DC048F"/>
    <w:rsid w:val="00DC165F"/>
    <w:rsid w:val="00DC17C3"/>
    <w:rsid w:val="00DC23C2"/>
    <w:rsid w:val="00DC2572"/>
    <w:rsid w:val="00DC26C6"/>
    <w:rsid w:val="00DC2E83"/>
    <w:rsid w:val="00DC2EDE"/>
    <w:rsid w:val="00DC3FD8"/>
    <w:rsid w:val="00DC4401"/>
    <w:rsid w:val="00DC45F7"/>
    <w:rsid w:val="00DC4731"/>
    <w:rsid w:val="00DC5582"/>
    <w:rsid w:val="00DC5FC9"/>
    <w:rsid w:val="00DC6A65"/>
    <w:rsid w:val="00DC6B1D"/>
    <w:rsid w:val="00DC6D24"/>
    <w:rsid w:val="00DC75D5"/>
    <w:rsid w:val="00DC75E7"/>
    <w:rsid w:val="00DD011A"/>
    <w:rsid w:val="00DD0D32"/>
    <w:rsid w:val="00DD0EE0"/>
    <w:rsid w:val="00DD15FB"/>
    <w:rsid w:val="00DD1DA1"/>
    <w:rsid w:val="00DD215C"/>
    <w:rsid w:val="00DD216F"/>
    <w:rsid w:val="00DD303B"/>
    <w:rsid w:val="00DD4276"/>
    <w:rsid w:val="00DD5AA9"/>
    <w:rsid w:val="00DD6AD8"/>
    <w:rsid w:val="00DD71D3"/>
    <w:rsid w:val="00DD7E9F"/>
    <w:rsid w:val="00DE0213"/>
    <w:rsid w:val="00DE077C"/>
    <w:rsid w:val="00DE0B96"/>
    <w:rsid w:val="00DE1010"/>
    <w:rsid w:val="00DE16B0"/>
    <w:rsid w:val="00DE1974"/>
    <w:rsid w:val="00DE1F8A"/>
    <w:rsid w:val="00DE2918"/>
    <w:rsid w:val="00DE2CCE"/>
    <w:rsid w:val="00DE5F85"/>
    <w:rsid w:val="00DE79F9"/>
    <w:rsid w:val="00DE7A19"/>
    <w:rsid w:val="00DE7EC1"/>
    <w:rsid w:val="00DF042F"/>
    <w:rsid w:val="00DF072B"/>
    <w:rsid w:val="00DF0968"/>
    <w:rsid w:val="00DF0D81"/>
    <w:rsid w:val="00DF0F2C"/>
    <w:rsid w:val="00DF1F65"/>
    <w:rsid w:val="00DF32C2"/>
    <w:rsid w:val="00DF32E9"/>
    <w:rsid w:val="00DF35C2"/>
    <w:rsid w:val="00DF388D"/>
    <w:rsid w:val="00DF3FD7"/>
    <w:rsid w:val="00DF50BB"/>
    <w:rsid w:val="00DF57FE"/>
    <w:rsid w:val="00DF5AF5"/>
    <w:rsid w:val="00DF6CD3"/>
    <w:rsid w:val="00DF6FED"/>
    <w:rsid w:val="00DF7463"/>
    <w:rsid w:val="00DF770E"/>
    <w:rsid w:val="00DF794B"/>
    <w:rsid w:val="00DF7B34"/>
    <w:rsid w:val="00DF7E5C"/>
    <w:rsid w:val="00E004A5"/>
    <w:rsid w:val="00E00727"/>
    <w:rsid w:val="00E00EE9"/>
    <w:rsid w:val="00E0108F"/>
    <w:rsid w:val="00E0120A"/>
    <w:rsid w:val="00E01707"/>
    <w:rsid w:val="00E02F2A"/>
    <w:rsid w:val="00E03AD6"/>
    <w:rsid w:val="00E03F4D"/>
    <w:rsid w:val="00E04DB8"/>
    <w:rsid w:val="00E05216"/>
    <w:rsid w:val="00E05BD5"/>
    <w:rsid w:val="00E05D1F"/>
    <w:rsid w:val="00E07445"/>
    <w:rsid w:val="00E10E8D"/>
    <w:rsid w:val="00E10F8E"/>
    <w:rsid w:val="00E115E4"/>
    <w:rsid w:val="00E1166A"/>
    <w:rsid w:val="00E12B51"/>
    <w:rsid w:val="00E12D18"/>
    <w:rsid w:val="00E13C98"/>
    <w:rsid w:val="00E146EA"/>
    <w:rsid w:val="00E14FD7"/>
    <w:rsid w:val="00E15569"/>
    <w:rsid w:val="00E16414"/>
    <w:rsid w:val="00E175EF"/>
    <w:rsid w:val="00E17701"/>
    <w:rsid w:val="00E17853"/>
    <w:rsid w:val="00E17C28"/>
    <w:rsid w:val="00E17FC1"/>
    <w:rsid w:val="00E2026D"/>
    <w:rsid w:val="00E20584"/>
    <w:rsid w:val="00E207F7"/>
    <w:rsid w:val="00E217FD"/>
    <w:rsid w:val="00E22011"/>
    <w:rsid w:val="00E224DE"/>
    <w:rsid w:val="00E22500"/>
    <w:rsid w:val="00E225CB"/>
    <w:rsid w:val="00E226A9"/>
    <w:rsid w:val="00E2326B"/>
    <w:rsid w:val="00E239A5"/>
    <w:rsid w:val="00E23F27"/>
    <w:rsid w:val="00E244AE"/>
    <w:rsid w:val="00E246A4"/>
    <w:rsid w:val="00E25F7D"/>
    <w:rsid w:val="00E305E0"/>
    <w:rsid w:val="00E31D8B"/>
    <w:rsid w:val="00E32708"/>
    <w:rsid w:val="00E3297E"/>
    <w:rsid w:val="00E349F5"/>
    <w:rsid w:val="00E35069"/>
    <w:rsid w:val="00E35DE2"/>
    <w:rsid w:val="00E36606"/>
    <w:rsid w:val="00E36FD6"/>
    <w:rsid w:val="00E374E3"/>
    <w:rsid w:val="00E376A5"/>
    <w:rsid w:val="00E37D47"/>
    <w:rsid w:val="00E40F21"/>
    <w:rsid w:val="00E4142E"/>
    <w:rsid w:val="00E4184B"/>
    <w:rsid w:val="00E41B9A"/>
    <w:rsid w:val="00E42C13"/>
    <w:rsid w:val="00E43EFE"/>
    <w:rsid w:val="00E442ED"/>
    <w:rsid w:val="00E45822"/>
    <w:rsid w:val="00E45B91"/>
    <w:rsid w:val="00E46C44"/>
    <w:rsid w:val="00E4704A"/>
    <w:rsid w:val="00E47AD0"/>
    <w:rsid w:val="00E47F5B"/>
    <w:rsid w:val="00E5087F"/>
    <w:rsid w:val="00E50A97"/>
    <w:rsid w:val="00E50ECB"/>
    <w:rsid w:val="00E50F30"/>
    <w:rsid w:val="00E52132"/>
    <w:rsid w:val="00E526CB"/>
    <w:rsid w:val="00E56477"/>
    <w:rsid w:val="00E56832"/>
    <w:rsid w:val="00E56C1D"/>
    <w:rsid w:val="00E56FEB"/>
    <w:rsid w:val="00E60499"/>
    <w:rsid w:val="00E607ED"/>
    <w:rsid w:val="00E60A5E"/>
    <w:rsid w:val="00E61681"/>
    <w:rsid w:val="00E61D33"/>
    <w:rsid w:val="00E61D8A"/>
    <w:rsid w:val="00E6250D"/>
    <w:rsid w:val="00E62AD6"/>
    <w:rsid w:val="00E6340B"/>
    <w:rsid w:val="00E63893"/>
    <w:rsid w:val="00E63F09"/>
    <w:rsid w:val="00E64B9A"/>
    <w:rsid w:val="00E651A0"/>
    <w:rsid w:val="00E659CD"/>
    <w:rsid w:val="00E662B9"/>
    <w:rsid w:val="00E67144"/>
    <w:rsid w:val="00E67260"/>
    <w:rsid w:val="00E675DB"/>
    <w:rsid w:val="00E67800"/>
    <w:rsid w:val="00E70632"/>
    <w:rsid w:val="00E707D8"/>
    <w:rsid w:val="00E70936"/>
    <w:rsid w:val="00E70AD5"/>
    <w:rsid w:val="00E7102B"/>
    <w:rsid w:val="00E711A3"/>
    <w:rsid w:val="00E71341"/>
    <w:rsid w:val="00E713E8"/>
    <w:rsid w:val="00E71F42"/>
    <w:rsid w:val="00E73571"/>
    <w:rsid w:val="00E74B82"/>
    <w:rsid w:val="00E75319"/>
    <w:rsid w:val="00E7544B"/>
    <w:rsid w:val="00E7599D"/>
    <w:rsid w:val="00E75D30"/>
    <w:rsid w:val="00E76723"/>
    <w:rsid w:val="00E76AA6"/>
    <w:rsid w:val="00E76BC2"/>
    <w:rsid w:val="00E76EFA"/>
    <w:rsid w:val="00E77707"/>
    <w:rsid w:val="00E77EBA"/>
    <w:rsid w:val="00E77FB9"/>
    <w:rsid w:val="00E80EED"/>
    <w:rsid w:val="00E8159D"/>
    <w:rsid w:val="00E815E6"/>
    <w:rsid w:val="00E8161D"/>
    <w:rsid w:val="00E819EF"/>
    <w:rsid w:val="00E821D9"/>
    <w:rsid w:val="00E82C04"/>
    <w:rsid w:val="00E82F86"/>
    <w:rsid w:val="00E835FF"/>
    <w:rsid w:val="00E8379D"/>
    <w:rsid w:val="00E84532"/>
    <w:rsid w:val="00E84EC6"/>
    <w:rsid w:val="00E84F93"/>
    <w:rsid w:val="00E85A0E"/>
    <w:rsid w:val="00E8690E"/>
    <w:rsid w:val="00E86B3E"/>
    <w:rsid w:val="00E876E3"/>
    <w:rsid w:val="00E90338"/>
    <w:rsid w:val="00E904A9"/>
    <w:rsid w:val="00E909D4"/>
    <w:rsid w:val="00E90E8E"/>
    <w:rsid w:val="00E91A7B"/>
    <w:rsid w:val="00E925AC"/>
    <w:rsid w:val="00E9277E"/>
    <w:rsid w:val="00E931F2"/>
    <w:rsid w:val="00E935C9"/>
    <w:rsid w:val="00E94AF9"/>
    <w:rsid w:val="00E95107"/>
    <w:rsid w:val="00E95FC5"/>
    <w:rsid w:val="00E962CB"/>
    <w:rsid w:val="00E96AA4"/>
    <w:rsid w:val="00E973A9"/>
    <w:rsid w:val="00E97AF6"/>
    <w:rsid w:val="00EA010E"/>
    <w:rsid w:val="00EA09BC"/>
    <w:rsid w:val="00EA0A37"/>
    <w:rsid w:val="00EA0B0C"/>
    <w:rsid w:val="00EA11EB"/>
    <w:rsid w:val="00EA130D"/>
    <w:rsid w:val="00EA1890"/>
    <w:rsid w:val="00EA1EA7"/>
    <w:rsid w:val="00EA211A"/>
    <w:rsid w:val="00EA2282"/>
    <w:rsid w:val="00EA3C56"/>
    <w:rsid w:val="00EA46A4"/>
    <w:rsid w:val="00EA4BE3"/>
    <w:rsid w:val="00EA57B5"/>
    <w:rsid w:val="00EA5CB9"/>
    <w:rsid w:val="00EA5F2D"/>
    <w:rsid w:val="00EB05DE"/>
    <w:rsid w:val="00EB0A39"/>
    <w:rsid w:val="00EB0D51"/>
    <w:rsid w:val="00EB0DAE"/>
    <w:rsid w:val="00EB0E61"/>
    <w:rsid w:val="00EB100F"/>
    <w:rsid w:val="00EB1AF8"/>
    <w:rsid w:val="00EB23F0"/>
    <w:rsid w:val="00EB256F"/>
    <w:rsid w:val="00EB298E"/>
    <w:rsid w:val="00EB2B5E"/>
    <w:rsid w:val="00EB3A0C"/>
    <w:rsid w:val="00EB4387"/>
    <w:rsid w:val="00EB4C04"/>
    <w:rsid w:val="00EB4F6E"/>
    <w:rsid w:val="00EB51F5"/>
    <w:rsid w:val="00EB5867"/>
    <w:rsid w:val="00EB5BA4"/>
    <w:rsid w:val="00EB5BFB"/>
    <w:rsid w:val="00EB6D54"/>
    <w:rsid w:val="00EB7330"/>
    <w:rsid w:val="00EB779D"/>
    <w:rsid w:val="00EB7C96"/>
    <w:rsid w:val="00EC17D4"/>
    <w:rsid w:val="00EC1DD0"/>
    <w:rsid w:val="00EC2140"/>
    <w:rsid w:val="00EC2D1D"/>
    <w:rsid w:val="00EC321C"/>
    <w:rsid w:val="00EC5397"/>
    <w:rsid w:val="00EC620A"/>
    <w:rsid w:val="00EC79F6"/>
    <w:rsid w:val="00EC7AC6"/>
    <w:rsid w:val="00EC7C51"/>
    <w:rsid w:val="00ED0341"/>
    <w:rsid w:val="00ED0DD8"/>
    <w:rsid w:val="00ED24EF"/>
    <w:rsid w:val="00ED26DA"/>
    <w:rsid w:val="00ED2B03"/>
    <w:rsid w:val="00ED2B79"/>
    <w:rsid w:val="00ED48BF"/>
    <w:rsid w:val="00ED49F3"/>
    <w:rsid w:val="00ED5834"/>
    <w:rsid w:val="00ED6BA4"/>
    <w:rsid w:val="00EE06F5"/>
    <w:rsid w:val="00EE0DB2"/>
    <w:rsid w:val="00EE10AA"/>
    <w:rsid w:val="00EE1967"/>
    <w:rsid w:val="00EE1A08"/>
    <w:rsid w:val="00EE1FCF"/>
    <w:rsid w:val="00EE21F4"/>
    <w:rsid w:val="00EE2F8E"/>
    <w:rsid w:val="00EE321B"/>
    <w:rsid w:val="00EE38EC"/>
    <w:rsid w:val="00EE4E11"/>
    <w:rsid w:val="00EE5AF5"/>
    <w:rsid w:val="00EE5E61"/>
    <w:rsid w:val="00EE6429"/>
    <w:rsid w:val="00EE77A1"/>
    <w:rsid w:val="00EE7D73"/>
    <w:rsid w:val="00EF1114"/>
    <w:rsid w:val="00EF151D"/>
    <w:rsid w:val="00EF19A5"/>
    <w:rsid w:val="00EF218B"/>
    <w:rsid w:val="00EF409D"/>
    <w:rsid w:val="00EF48C4"/>
    <w:rsid w:val="00EF5BCA"/>
    <w:rsid w:val="00EF6063"/>
    <w:rsid w:val="00EF61A9"/>
    <w:rsid w:val="00EF669D"/>
    <w:rsid w:val="00EF6958"/>
    <w:rsid w:val="00EF70CE"/>
    <w:rsid w:val="00EF75B2"/>
    <w:rsid w:val="00EF7E6D"/>
    <w:rsid w:val="00F007D9"/>
    <w:rsid w:val="00F00B66"/>
    <w:rsid w:val="00F0151F"/>
    <w:rsid w:val="00F02335"/>
    <w:rsid w:val="00F028C1"/>
    <w:rsid w:val="00F02FA3"/>
    <w:rsid w:val="00F032A5"/>
    <w:rsid w:val="00F045C3"/>
    <w:rsid w:val="00F04A93"/>
    <w:rsid w:val="00F04BF3"/>
    <w:rsid w:val="00F054BB"/>
    <w:rsid w:val="00F055D0"/>
    <w:rsid w:val="00F06138"/>
    <w:rsid w:val="00F06183"/>
    <w:rsid w:val="00F11221"/>
    <w:rsid w:val="00F122C2"/>
    <w:rsid w:val="00F133C9"/>
    <w:rsid w:val="00F134D7"/>
    <w:rsid w:val="00F137AB"/>
    <w:rsid w:val="00F13F39"/>
    <w:rsid w:val="00F147C3"/>
    <w:rsid w:val="00F14900"/>
    <w:rsid w:val="00F14DA5"/>
    <w:rsid w:val="00F1508E"/>
    <w:rsid w:val="00F155B4"/>
    <w:rsid w:val="00F163B0"/>
    <w:rsid w:val="00F1655C"/>
    <w:rsid w:val="00F16CAB"/>
    <w:rsid w:val="00F16EF0"/>
    <w:rsid w:val="00F1729C"/>
    <w:rsid w:val="00F17885"/>
    <w:rsid w:val="00F1792D"/>
    <w:rsid w:val="00F17951"/>
    <w:rsid w:val="00F20612"/>
    <w:rsid w:val="00F20E64"/>
    <w:rsid w:val="00F2127B"/>
    <w:rsid w:val="00F21B07"/>
    <w:rsid w:val="00F222C8"/>
    <w:rsid w:val="00F239C0"/>
    <w:rsid w:val="00F23D9F"/>
    <w:rsid w:val="00F24B81"/>
    <w:rsid w:val="00F25321"/>
    <w:rsid w:val="00F25DC4"/>
    <w:rsid w:val="00F26C6E"/>
    <w:rsid w:val="00F2749A"/>
    <w:rsid w:val="00F30879"/>
    <w:rsid w:val="00F309F4"/>
    <w:rsid w:val="00F30C38"/>
    <w:rsid w:val="00F30D99"/>
    <w:rsid w:val="00F30FA8"/>
    <w:rsid w:val="00F310A2"/>
    <w:rsid w:val="00F31837"/>
    <w:rsid w:val="00F3189A"/>
    <w:rsid w:val="00F32854"/>
    <w:rsid w:val="00F32DF9"/>
    <w:rsid w:val="00F3378C"/>
    <w:rsid w:val="00F346EB"/>
    <w:rsid w:val="00F352BF"/>
    <w:rsid w:val="00F35802"/>
    <w:rsid w:val="00F35A8E"/>
    <w:rsid w:val="00F36D47"/>
    <w:rsid w:val="00F37B85"/>
    <w:rsid w:val="00F37C9F"/>
    <w:rsid w:val="00F406E2"/>
    <w:rsid w:val="00F40CED"/>
    <w:rsid w:val="00F41D08"/>
    <w:rsid w:val="00F42830"/>
    <w:rsid w:val="00F43860"/>
    <w:rsid w:val="00F454BC"/>
    <w:rsid w:val="00F462FB"/>
    <w:rsid w:val="00F463C9"/>
    <w:rsid w:val="00F46C9A"/>
    <w:rsid w:val="00F46F2A"/>
    <w:rsid w:val="00F50CD2"/>
    <w:rsid w:val="00F50EA4"/>
    <w:rsid w:val="00F52693"/>
    <w:rsid w:val="00F52E18"/>
    <w:rsid w:val="00F53515"/>
    <w:rsid w:val="00F53F10"/>
    <w:rsid w:val="00F54EF7"/>
    <w:rsid w:val="00F555AD"/>
    <w:rsid w:val="00F56126"/>
    <w:rsid w:val="00F576EC"/>
    <w:rsid w:val="00F61146"/>
    <w:rsid w:val="00F6197B"/>
    <w:rsid w:val="00F61EA7"/>
    <w:rsid w:val="00F62526"/>
    <w:rsid w:val="00F62DD8"/>
    <w:rsid w:val="00F6319D"/>
    <w:rsid w:val="00F6321C"/>
    <w:rsid w:val="00F63320"/>
    <w:rsid w:val="00F636FF"/>
    <w:rsid w:val="00F63B5C"/>
    <w:rsid w:val="00F6408B"/>
    <w:rsid w:val="00F6442F"/>
    <w:rsid w:val="00F64550"/>
    <w:rsid w:val="00F649EA"/>
    <w:rsid w:val="00F65360"/>
    <w:rsid w:val="00F65582"/>
    <w:rsid w:val="00F65F5C"/>
    <w:rsid w:val="00F6608D"/>
    <w:rsid w:val="00F661F2"/>
    <w:rsid w:val="00F66997"/>
    <w:rsid w:val="00F67904"/>
    <w:rsid w:val="00F6798E"/>
    <w:rsid w:val="00F7169A"/>
    <w:rsid w:val="00F717F9"/>
    <w:rsid w:val="00F718DB"/>
    <w:rsid w:val="00F7307D"/>
    <w:rsid w:val="00F743D8"/>
    <w:rsid w:val="00F7458D"/>
    <w:rsid w:val="00F74E55"/>
    <w:rsid w:val="00F7510A"/>
    <w:rsid w:val="00F7726A"/>
    <w:rsid w:val="00F772A7"/>
    <w:rsid w:val="00F81104"/>
    <w:rsid w:val="00F81351"/>
    <w:rsid w:val="00F8152F"/>
    <w:rsid w:val="00F815A9"/>
    <w:rsid w:val="00F81FC7"/>
    <w:rsid w:val="00F8234D"/>
    <w:rsid w:val="00F8277E"/>
    <w:rsid w:val="00F82B55"/>
    <w:rsid w:val="00F82E1D"/>
    <w:rsid w:val="00F834B3"/>
    <w:rsid w:val="00F83E98"/>
    <w:rsid w:val="00F83F41"/>
    <w:rsid w:val="00F843F8"/>
    <w:rsid w:val="00F856FE"/>
    <w:rsid w:val="00F85ECD"/>
    <w:rsid w:val="00F8658C"/>
    <w:rsid w:val="00F87622"/>
    <w:rsid w:val="00F87F3A"/>
    <w:rsid w:val="00F90106"/>
    <w:rsid w:val="00F9177D"/>
    <w:rsid w:val="00F91AD4"/>
    <w:rsid w:val="00F91CEE"/>
    <w:rsid w:val="00F922DF"/>
    <w:rsid w:val="00F9279B"/>
    <w:rsid w:val="00F93C99"/>
    <w:rsid w:val="00F94037"/>
    <w:rsid w:val="00F9408F"/>
    <w:rsid w:val="00F94416"/>
    <w:rsid w:val="00F94F01"/>
    <w:rsid w:val="00F96639"/>
    <w:rsid w:val="00F967FB"/>
    <w:rsid w:val="00F9753E"/>
    <w:rsid w:val="00F97DA9"/>
    <w:rsid w:val="00FA086F"/>
    <w:rsid w:val="00FA188B"/>
    <w:rsid w:val="00FA1B80"/>
    <w:rsid w:val="00FA1B96"/>
    <w:rsid w:val="00FA38F1"/>
    <w:rsid w:val="00FA3DFD"/>
    <w:rsid w:val="00FA3E8C"/>
    <w:rsid w:val="00FA4650"/>
    <w:rsid w:val="00FA5779"/>
    <w:rsid w:val="00FA58D6"/>
    <w:rsid w:val="00FA58E1"/>
    <w:rsid w:val="00FA7E85"/>
    <w:rsid w:val="00FB23A0"/>
    <w:rsid w:val="00FB2A76"/>
    <w:rsid w:val="00FB2C45"/>
    <w:rsid w:val="00FB388B"/>
    <w:rsid w:val="00FB53D5"/>
    <w:rsid w:val="00FB5F53"/>
    <w:rsid w:val="00FC03C4"/>
    <w:rsid w:val="00FC0BB5"/>
    <w:rsid w:val="00FC0CD9"/>
    <w:rsid w:val="00FC12FE"/>
    <w:rsid w:val="00FC1BC9"/>
    <w:rsid w:val="00FC2089"/>
    <w:rsid w:val="00FC2CCD"/>
    <w:rsid w:val="00FC2FD9"/>
    <w:rsid w:val="00FC5126"/>
    <w:rsid w:val="00FC5D85"/>
    <w:rsid w:val="00FC5E6F"/>
    <w:rsid w:val="00FC6254"/>
    <w:rsid w:val="00FC72E1"/>
    <w:rsid w:val="00FC7F14"/>
    <w:rsid w:val="00FD05DD"/>
    <w:rsid w:val="00FD076E"/>
    <w:rsid w:val="00FD096D"/>
    <w:rsid w:val="00FD26FD"/>
    <w:rsid w:val="00FD434D"/>
    <w:rsid w:val="00FD500A"/>
    <w:rsid w:val="00FD504A"/>
    <w:rsid w:val="00FD64FC"/>
    <w:rsid w:val="00FD6D2F"/>
    <w:rsid w:val="00FD79E7"/>
    <w:rsid w:val="00FD7EF9"/>
    <w:rsid w:val="00FE072B"/>
    <w:rsid w:val="00FE0CB1"/>
    <w:rsid w:val="00FE0D36"/>
    <w:rsid w:val="00FE14EE"/>
    <w:rsid w:val="00FE18D7"/>
    <w:rsid w:val="00FE2329"/>
    <w:rsid w:val="00FE287B"/>
    <w:rsid w:val="00FE389B"/>
    <w:rsid w:val="00FE4CB0"/>
    <w:rsid w:val="00FE550A"/>
    <w:rsid w:val="00FE56B0"/>
    <w:rsid w:val="00FE5E65"/>
    <w:rsid w:val="00FE620B"/>
    <w:rsid w:val="00FE72C5"/>
    <w:rsid w:val="00FE75C0"/>
    <w:rsid w:val="00FE7FA4"/>
    <w:rsid w:val="00FF06BF"/>
    <w:rsid w:val="00FF125A"/>
    <w:rsid w:val="00FF1BD4"/>
    <w:rsid w:val="00FF2AA8"/>
    <w:rsid w:val="00FF2EEE"/>
    <w:rsid w:val="00FF2F58"/>
    <w:rsid w:val="00FF5B29"/>
    <w:rsid w:val="00FF60E2"/>
    <w:rsid w:val="00FF67A7"/>
    <w:rsid w:val="00FF74A9"/>
    <w:rsid w:val="00FF7F2D"/>
    <w:rsid w:val="0110D799"/>
    <w:rsid w:val="01680701"/>
    <w:rsid w:val="01E8E490"/>
    <w:rsid w:val="02294864"/>
    <w:rsid w:val="0231051C"/>
    <w:rsid w:val="02631CDA"/>
    <w:rsid w:val="027E31A6"/>
    <w:rsid w:val="0297365E"/>
    <w:rsid w:val="02DEB1DD"/>
    <w:rsid w:val="0335C957"/>
    <w:rsid w:val="033ACE51"/>
    <w:rsid w:val="0341C42D"/>
    <w:rsid w:val="0346ADBF"/>
    <w:rsid w:val="03659A74"/>
    <w:rsid w:val="048F87A0"/>
    <w:rsid w:val="04A30AFA"/>
    <w:rsid w:val="04F872DB"/>
    <w:rsid w:val="050A3A14"/>
    <w:rsid w:val="050AFF2C"/>
    <w:rsid w:val="051C6039"/>
    <w:rsid w:val="057A9C2C"/>
    <w:rsid w:val="062C14B7"/>
    <w:rsid w:val="064B4AAF"/>
    <w:rsid w:val="06750C91"/>
    <w:rsid w:val="0694BB35"/>
    <w:rsid w:val="06986121"/>
    <w:rsid w:val="06B5A906"/>
    <w:rsid w:val="06F0B949"/>
    <w:rsid w:val="07230F85"/>
    <w:rsid w:val="073B76F4"/>
    <w:rsid w:val="07B98BDC"/>
    <w:rsid w:val="07D6E940"/>
    <w:rsid w:val="07DFDEFF"/>
    <w:rsid w:val="07E9BB3E"/>
    <w:rsid w:val="07F52CF9"/>
    <w:rsid w:val="08409260"/>
    <w:rsid w:val="084D3431"/>
    <w:rsid w:val="086D19B4"/>
    <w:rsid w:val="087C166B"/>
    <w:rsid w:val="088B453B"/>
    <w:rsid w:val="08CD41FA"/>
    <w:rsid w:val="08DF452A"/>
    <w:rsid w:val="096A94FE"/>
    <w:rsid w:val="09B69868"/>
    <w:rsid w:val="0A0B64A3"/>
    <w:rsid w:val="0A1AE7B2"/>
    <w:rsid w:val="0A76DDDB"/>
    <w:rsid w:val="0AB15C48"/>
    <w:rsid w:val="0B3A9DCB"/>
    <w:rsid w:val="0BCDDA04"/>
    <w:rsid w:val="0C05CF8B"/>
    <w:rsid w:val="0C265917"/>
    <w:rsid w:val="0C3EEA7C"/>
    <w:rsid w:val="0C4C2310"/>
    <w:rsid w:val="0CE6D523"/>
    <w:rsid w:val="0DE52C04"/>
    <w:rsid w:val="0E23A540"/>
    <w:rsid w:val="0E46FA85"/>
    <w:rsid w:val="0E5EA55F"/>
    <w:rsid w:val="0EB4B340"/>
    <w:rsid w:val="0F3D3517"/>
    <w:rsid w:val="0FA34703"/>
    <w:rsid w:val="0FCA0CB1"/>
    <w:rsid w:val="0FEAEFF7"/>
    <w:rsid w:val="100B27A7"/>
    <w:rsid w:val="1019CB64"/>
    <w:rsid w:val="1097FC43"/>
    <w:rsid w:val="1120247A"/>
    <w:rsid w:val="1124FB15"/>
    <w:rsid w:val="11F69B1F"/>
    <w:rsid w:val="12360E83"/>
    <w:rsid w:val="1265CD46"/>
    <w:rsid w:val="12BAD289"/>
    <w:rsid w:val="12CCB1DD"/>
    <w:rsid w:val="13000CA5"/>
    <w:rsid w:val="1323DB5B"/>
    <w:rsid w:val="134FEF5F"/>
    <w:rsid w:val="13B35B4D"/>
    <w:rsid w:val="13CA1FD4"/>
    <w:rsid w:val="14066AA0"/>
    <w:rsid w:val="140F1E4B"/>
    <w:rsid w:val="14284278"/>
    <w:rsid w:val="146F0315"/>
    <w:rsid w:val="1478A296"/>
    <w:rsid w:val="147E8F81"/>
    <w:rsid w:val="149C0B26"/>
    <w:rsid w:val="14B4BA4F"/>
    <w:rsid w:val="15582BCA"/>
    <w:rsid w:val="15E7A135"/>
    <w:rsid w:val="164DF1DA"/>
    <w:rsid w:val="166BBFE0"/>
    <w:rsid w:val="16D6126E"/>
    <w:rsid w:val="1735E09B"/>
    <w:rsid w:val="173973CD"/>
    <w:rsid w:val="177B4AF4"/>
    <w:rsid w:val="1807EDB4"/>
    <w:rsid w:val="1825128E"/>
    <w:rsid w:val="18629071"/>
    <w:rsid w:val="1893EEF6"/>
    <w:rsid w:val="189416A8"/>
    <w:rsid w:val="1897C3AE"/>
    <w:rsid w:val="189904F1"/>
    <w:rsid w:val="18BAE532"/>
    <w:rsid w:val="18C16B95"/>
    <w:rsid w:val="18C27DB6"/>
    <w:rsid w:val="18CEDCE3"/>
    <w:rsid w:val="19D956F6"/>
    <w:rsid w:val="19DCCD72"/>
    <w:rsid w:val="1A18D2E5"/>
    <w:rsid w:val="1ADDFF37"/>
    <w:rsid w:val="1BBA6E72"/>
    <w:rsid w:val="1BE4A310"/>
    <w:rsid w:val="1C41A699"/>
    <w:rsid w:val="1CA4CF5E"/>
    <w:rsid w:val="1CD20B58"/>
    <w:rsid w:val="1CE80576"/>
    <w:rsid w:val="1D42ABA9"/>
    <w:rsid w:val="1D4C03A8"/>
    <w:rsid w:val="1D53D770"/>
    <w:rsid w:val="1D93BA19"/>
    <w:rsid w:val="1D9EB6B3"/>
    <w:rsid w:val="1DC4E80E"/>
    <w:rsid w:val="1E025305"/>
    <w:rsid w:val="1E736FE4"/>
    <w:rsid w:val="1EDF1401"/>
    <w:rsid w:val="1EFE8A4D"/>
    <w:rsid w:val="1F165735"/>
    <w:rsid w:val="1F5CEE7D"/>
    <w:rsid w:val="20834FA9"/>
    <w:rsid w:val="20DC2B68"/>
    <w:rsid w:val="21857624"/>
    <w:rsid w:val="21DA9278"/>
    <w:rsid w:val="21F5AD0D"/>
    <w:rsid w:val="2224B0C8"/>
    <w:rsid w:val="225BFCE0"/>
    <w:rsid w:val="228392A8"/>
    <w:rsid w:val="229B1D87"/>
    <w:rsid w:val="22F077B5"/>
    <w:rsid w:val="236D8DCD"/>
    <w:rsid w:val="23728636"/>
    <w:rsid w:val="238A6E88"/>
    <w:rsid w:val="2434A1BF"/>
    <w:rsid w:val="244FBB83"/>
    <w:rsid w:val="245D4F01"/>
    <w:rsid w:val="249558EC"/>
    <w:rsid w:val="2498C5C6"/>
    <w:rsid w:val="24A8FE21"/>
    <w:rsid w:val="24D6CDEC"/>
    <w:rsid w:val="24FD5586"/>
    <w:rsid w:val="252A3F47"/>
    <w:rsid w:val="256C4786"/>
    <w:rsid w:val="25D5858C"/>
    <w:rsid w:val="25FE96DA"/>
    <w:rsid w:val="262046D5"/>
    <w:rsid w:val="26CD5314"/>
    <w:rsid w:val="26DB34D8"/>
    <w:rsid w:val="27D8DAA0"/>
    <w:rsid w:val="27F142F0"/>
    <w:rsid w:val="289C0251"/>
    <w:rsid w:val="28F34B38"/>
    <w:rsid w:val="28FD57D8"/>
    <w:rsid w:val="292C0102"/>
    <w:rsid w:val="294D8A09"/>
    <w:rsid w:val="2956F768"/>
    <w:rsid w:val="2A5F75F7"/>
    <w:rsid w:val="2B5F32AD"/>
    <w:rsid w:val="2B67367A"/>
    <w:rsid w:val="2B6782B5"/>
    <w:rsid w:val="2B8844E1"/>
    <w:rsid w:val="2BB524C5"/>
    <w:rsid w:val="2BD61A31"/>
    <w:rsid w:val="2C088F7A"/>
    <w:rsid w:val="2CAC1646"/>
    <w:rsid w:val="2CB87512"/>
    <w:rsid w:val="2CCC3A2A"/>
    <w:rsid w:val="2D3DA074"/>
    <w:rsid w:val="2D4962C6"/>
    <w:rsid w:val="2D5C58A9"/>
    <w:rsid w:val="2D9CEFA3"/>
    <w:rsid w:val="2DAD21BA"/>
    <w:rsid w:val="2E46D436"/>
    <w:rsid w:val="2ECE97CB"/>
    <w:rsid w:val="2ED74E32"/>
    <w:rsid w:val="2F23F7BB"/>
    <w:rsid w:val="2F4712FB"/>
    <w:rsid w:val="2F56E15A"/>
    <w:rsid w:val="2F67D470"/>
    <w:rsid w:val="2F8BB2F9"/>
    <w:rsid w:val="2FF3E901"/>
    <w:rsid w:val="300F2005"/>
    <w:rsid w:val="306CADA8"/>
    <w:rsid w:val="307D676B"/>
    <w:rsid w:val="30902541"/>
    <w:rsid w:val="309FAFAA"/>
    <w:rsid w:val="31715F71"/>
    <w:rsid w:val="31B0134D"/>
    <w:rsid w:val="32938516"/>
    <w:rsid w:val="32DA247F"/>
    <w:rsid w:val="32DB45E8"/>
    <w:rsid w:val="32DE4C9E"/>
    <w:rsid w:val="32E55572"/>
    <w:rsid w:val="33D450C4"/>
    <w:rsid w:val="33E28131"/>
    <w:rsid w:val="341EE918"/>
    <w:rsid w:val="3431E05B"/>
    <w:rsid w:val="34C92393"/>
    <w:rsid w:val="352AD04A"/>
    <w:rsid w:val="355EF0F9"/>
    <w:rsid w:val="359BC500"/>
    <w:rsid w:val="35EAE204"/>
    <w:rsid w:val="36B83AE2"/>
    <w:rsid w:val="3791AE5B"/>
    <w:rsid w:val="37D37A3D"/>
    <w:rsid w:val="37DA6240"/>
    <w:rsid w:val="37F94D04"/>
    <w:rsid w:val="385C5503"/>
    <w:rsid w:val="38BED2FA"/>
    <w:rsid w:val="38D1DB59"/>
    <w:rsid w:val="3999C0B6"/>
    <w:rsid w:val="39E2E3B3"/>
    <w:rsid w:val="3A4DD2E7"/>
    <w:rsid w:val="3A6775F5"/>
    <w:rsid w:val="3A9A546B"/>
    <w:rsid w:val="3B08F1BB"/>
    <w:rsid w:val="3BC19D7B"/>
    <w:rsid w:val="3BC3801E"/>
    <w:rsid w:val="3BCE2D42"/>
    <w:rsid w:val="3C0F077E"/>
    <w:rsid w:val="3C4C12C5"/>
    <w:rsid w:val="3CCA7EC3"/>
    <w:rsid w:val="3CD2F665"/>
    <w:rsid w:val="3D08D096"/>
    <w:rsid w:val="3E5DC820"/>
    <w:rsid w:val="3E624B5B"/>
    <w:rsid w:val="3E7E32CA"/>
    <w:rsid w:val="3EF8BDEA"/>
    <w:rsid w:val="3F5A8CC9"/>
    <w:rsid w:val="3FF1A03A"/>
    <w:rsid w:val="40614F88"/>
    <w:rsid w:val="40A9BD24"/>
    <w:rsid w:val="40C89998"/>
    <w:rsid w:val="40ED679E"/>
    <w:rsid w:val="41057558"/>
    <w:rsid w:val="423E807D"/>
    <w:rsid w:val="424671C3"/>
    <w:rsid w:val="425ABEDD"/>
    <w:rsid w:val="42677079"/>
    <w:rsid w:val="428D7D92"/>
    <w:rsid w:val="42970D80"/>
    <w:rsid w:val="42BD394D"/>
    <w:rsid w:val="436F6000"/>
    <w:rsid w:val="4374A831"/>
    <w:rsid w:val="437EE8BB"/>
    <w:rsid w:val="43E70B13"/>
    <w:rsid w:val="443D3156"/>
    <w:rsid w:val="444CBFB0"/>
    <w:rsid w:val="44A3169E"/>
    <w:rsid w:val="44CE0D3F"/>
    <w:rsid w:val="44FB3952"/>
    <w:rsid w:val="4549814E"/>
    <w:rsid w:val="4562E57B"/>
    <w:rsid w:val="45734AB1"/>
    <w:rsid w:val="4585F78B"/>
    <w:rsid w:val="45952502"/>
    <w:rsid w:val="45B9E832"/>
    <w:rsid w:val="45C0D72F"/>
    <w:rsid w:val="45E2FE04"/>
    <w:rsid w:val="463B34DD"/>
    <w:rsid w:val="46AF7F8D"/>
    <w:rsid w:val="46EC46B2"/>
    <w:rsid w:val="47616A64"/>
    <w:rsid w:val="47626F18"/>
    <w:rsid w:val="47D7901F"/>
    <w:rsid w:val="47DBCECC"/>
    <w:rsid w:val="484381B0"/>
    <w:rsid w:val="48C1CCEC"/>
    <w:rsid w:val="48F22395"/>
    <w:rsid w:val="4911D6C5"/>
    <w:rsid w:val="493E579E"/>
    <w:rsid w:val="4952EB3F"/>
    <w:rsid w:val="49626D55"/>
    <w:rsid w:val="4981ED7A"/>
    <w:rsid w:val="49D1DF02"/>
    <w:rsid w:val="49F7FA5F"/>
    <w:rsid w:val="4A4A9069"/>
    <w:rsid w:val="4B5BEFF5"/>
    <w:rsid w:val="4BECBBE2"/>
    <w:rsid w:val="4C137CD6"/>
    <w:rsid w:val="4C2D28F5"/>
    <w:rsid w:val="4C3F6A85"/>
    <w:rsid w:val="4CA00756"/>
    <w:rsid w:val="4CB15C14"/>
    <w:rsid w:val="4CB232DD"/>
    <w:rsid w:val="4D26C1E9"/>
    <w:rsid w:val="4DAE9974"/>
    <w:rsid w:val="4DC5B36A"/>
    <w:rsid w:val="4DC9404F"/>
    <w:rsid w:val="4DEE91C1"/>
    <w:rsid w:val="4E53A449"/>
    <w:rsid w:val="4E722302"/>
    <w:rsid w:val="4E7817B9"/>
    <w:rsid w:val="4EEBCECC"/>
    <w:rsid w:val="4FBEC411"/>
    <w:rsid w:val="5018C83E"/>
    <w:rsid w:val="50AD6901"/>
    <w:rsid w:val="50E1CD63"/>
    <w:rsid w:val="51904164"/>
    <w:rsid w:val="51A50E80"/>
    <w:rsid w:val="51B39E3E"/>
    <w:rsid w:val="51BBD438"/>
    <w:rsid w:val="51D10ED6"/>
    <w:rsid w:val="51D227D4"/>
    <w:rsid w:val="525ABE6B"/>
    <w:rsid w:val="530E6C08"/>
    <w:rsid w:val="532C8DAA"/>
    <w:rsid w:val="536EE536"/>
    <w:rsid w:val="547E7977"/>
    <w:rsid w:val="54A0C814"/>
    <w:rsid w:val="54D11829"/>
    <w:rsid w:val="54F33DD7"/>
    <w:rsid w:val="55684B29"/>
    <w:rsid w:val="55B36D32"/>
    <w:rsid w:val="5616C0FC"/>
    <w:rsid w:val="565051EB"/>
    <w:rsid w:val="56573FCC"/>
    <w:rsid w:val="565789C3"/>
    <w:rsid w:val="571EC8A0"/>
    <w:rsid w:val="5748C977"/>
    <w:rsid w:val="57BA0AD6"/>
    <w:rsid w:val="57BBA44A"/>
    <w:rsid w:val="57D8C032"/>
    <w:rsid w:val="5806C3A0"/>
    <w:rsid w:val="5817D0C9"/>
    <w:rsid w:val="582B8DA2"/>
    <w:rsid w:val="583565C1"/>
    <w:rsid w:val="5852D90C"/>
    <w:rsid w:val="5858A027"/>
    <w:rsid w:val="585F131A"/>
    <w:rsid w:val="58D43BFD"/>
    <w:rsid w:val="58ED6200"/>
    <w:rsid w:val="5968C346"/>
    <w:rsid w:val="59D7FE7C"/>
    <w:rsid w:val="5A6B1DAE"/>
    <w:rsid w:val="5AAE5028"/>
    <w:rsid w:val="5ACBCC10"/>
    <w:rsid w:val="5ACDC903"/>
    <w:rsid w:val="5ACEF3AC"/>
    <w:rsid w:val="5B13EAD2"/>
    <w:rsid w:val="5B3CD168"/>
    <w:rsid w:val="5B8E24C7"/>
    <w:rsid w:val="5BA88CC5"/>
    <w:rsid w:val="5BD3284A"/>
    <w:rsid w:val="5C249BDF"/>
    <w:rsid w:val="5C36EB07"/>
    <w:rsid w:val="5C8DDB1A"/>
    <w:rsid w:val="5CDC4A22"/>
    <w:rsid w:val="5CF9DD44"/>
    <w:rsid w:val="5D25C0F2"/>
    <w:rsid w:val="5D57106F"/>
    <w:rsid w:val="5D86ECF9"/>
    <w:rsid w:val="5DDBE7D5"/>
    <w:rsid w:val="5E3A3B75"/>
    <w:rsid w:val="5E718743"/>
    <w:rsid w:val="5E86D595"/>
    <w:rsid w:val="5EC0CB03"/>
    <w:rsid w:val="6038391B"/>
    <w:rsid w:val="60C4EDD2"/>
    <w:rsid w:val="60CB062C"/>
    <w:rsid w:val="60D1D790"/>
    <w:rsid w:val="60D9AFE9"/>
    <w:rsid w:val="60F08AF1"/>
    <w:rsid w:val="61270F18"/>
    <w:rsid w:val="612E2BF5"/>
    <w:rsid w:val="6154D193"/>
    <w:rsid w:val="61807FB8"/>
    <w:rsid w:val="61E440B9"/>
    <w:rsid w:val="61E9F3EA"/>
    <w:rsid w:val="61FFE74E"/>
    <w:rsid w:val="62898BF7"/>
    <w:rsid w:val="6292BCAF"/>
    <w:rsid w:val="62EDC7A1"/>
    <w:rsid w:val="6336806A"/>
    <w:rsid w:val="63A54181"/>
    <w:rsid w:val="63CB7EF6"/>
    <w:rsid w:val="63D11DB7"/>
    <w:rsid w:val="63D9C108"/>
    <w:rsid w:val="63E078EA"/>
    <w:rsid w:val="63F30EF8"/>
    <w:rsid w:val="6444B0B0"/>
    <w:rsid w:val="645AA164"/>
    <w:rsid w:val="64B72D30"/>
    <w:rsid w:val="64FF1FB9"/>
    <w:rsid w:val="654BE8E5"/>
    <w:rsid w:val="657DB5AC"/>
    <w:rsid w:val="65C2C956"/>
    <w:rsid w:val="65D351B1"/>
    <w:rsid w:val="65FF48E0"/>
    <w:rsid w:val="6605D0DB"/>
    <w:rsid w:val="66135D62"/>
    <w:rsid w:val="6676B45B"/>
    <w:rsid w:val="67557F33"/>
    <w:rsid w:val="6775F87B"/>
    <w:rsid w:val="67ACE133"/>
    <w:rsid w:val="68269E07"/>
    <w:rsid w:val="6887BEE8"/>
    <w:rsid w:val="69085778"/>
    <w:rsid w:val="69AB10E2"/>
    <w:rsid w:val="6A1F36B5"/>
    <w:rsid w:val="6A2BEBFA"/>
    <w:rsid w:val="6A5D394B"/>
    <w:rsid w:val="6AC5FA4D"/>
    <w:rsid w:val="6B146E17"/>
    <w:rsid w:val="6B489575"/>
    <w:rsid w:val="6B774C9F"/>
    <w:rsid w:val="6B777940"/>
    <w:rsid w:val="6C02B0FB"/>
    <w:rsid w:val="6C2DBBED"/>
    <w:rsid w:val="6C341818"/>
    <w:rsid w:val="6CF19994"/>
    <w:rsid w:val="6D1461ED"/>
    <w:rsid w:val="6D73D04F"/>
    <w:rsid w:val="6DB23081"/>
    <w:rsid w:val="6E467183"/>
    <w:rsid w:val="6E612DAA"/>
    <w:rsid w:val="6E8EE413"/>
    <w:rsid w:val="6E933E1C"/>
    <w:rsid w:val="6ECD243B"/>
    <w:rsid w:val="6EDCEF96"/>
    <w:rsid w:val="6F6F5B12"/>
    <w:rsid w:val="6FC7C55C"/>
    <w:rsid w:val="6FF68F06"/>
    <w:rsid w:val="711E6028"/>
    <w:rsid w:val="715AE5B9"/>
    <w:rsid w:val="717D2D0E"/>
    <w:rsid w:val="71A89F24"/>
    <w:rsid w:val="721EC39B"/>
    <w:rsid w:val="7225859B"/>
    <w:rsid w:val="72D16BC1"/>
    <w:rsid w:val="730814C2"/>
    <w:rsid w:val="734F6100"/>
    <w:rsid w:val="737F0BBE"/>
    <w:rsid w:val="73CDAA08"/>
    <w:rsid w:val="740D9ADD"/>
    <w:rsid w:val="7443D4EF"/>
    <w:rsid w:val="7498C222"/>
    <w:rsid w:val="749ADB1D"/>
    <w:rsid w:val="749C4800"/>
    <w:rsid w:val="74D1D5B0"/>
    <w:rsid w:val="752946A4"/>
    <w:rsid w:val="75AE9FFF"/>
    <w:rsid w:val="75B92146"/>
    <w:rsid w:val="761B3843"/>
    <w:rsid w:val="76B2411B"/>
    <w:rsid w:val="777C4069"/>
    <w:rsid w:val="78967F79"/>
    <w:rsid w:val="7931CFB7"/>
    <w:rsid w:val="79C648E0"/>
    <w:rsid w:val="7A17D98B"/>
    <w:rsid w:val="7A2E5E3D"/>
    <w:rsid w:val="7A39D21A"/>
    <w:rsid w:val="7A474377"/>
    <w:rsid w:val="7A887C24"/>
    <w:rsid w:val="7AB5E13A"/>
    <w:rsid w:val="7ACCAC07"/>
    <w:rsid w:val="7B441CDA"/>
    <w:rsid w:val="7B6D4933"/>
    <w:rsid w:val="7B72AC63"/>
    <w:rsid w:val="7B8796F0"/>
    <w:rsid w:val="7BC03677"/>
    <w:rsid w:val="7BF7A287"/>
    <w:rsid w:val="7C3A347D"/>
    <w:rsid w:val="7C75C725"/>
    <w:rsid w:val="7CD8CB68"/>
    <w:rsid w:val="7CDE9B26"/>
    <w:rsid w:val="7D00F487"/>
    <w:rsid w:val="7D3C7BEC"/>
    <w:rsid w:val="7D43097C"/>
    <w:rsid w:val="7DB58174"/>
    <w:rsid w:val="7E3705FD"/>
    <w:rsid w:val="7E7952CC"/>
    <w:rsid w:val="7E8ACA11"/>
    <w:rsid w:val="7EA0B91E"/>
    <w:rsid w:val="7ED95B7B"/>
    <w:rsid w:val="7EF481A1"/>
    <w:rsid w:val="7F21A9C4"/>
    <w:rsid w:val="7F2977B5"/>
    <w:rsid w:val="7FF96B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91DA8"/>
  <w15:docId w15:val="{70200B79-CE85-488F-B2D0-BF089CCE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108"/>
    <w:rPr>
      <w:rFonts w:eastAsia="SimSun" w:cs="Times New Roman"/>
      <w:szCs w:val="24"/>
      <w:lang w:eastAsia="zh-CN"/>
    </w:rPr>
  </w:style>
  <w:style w:type="paragraph" w:styleId="Heading1">
    <w:name w:val="heading 1"/>
    <w:basedOn w:val="OutlineCont1"/>
    <w:next w:val="Normal"/>
    <w:link w:val="Heading1Char"/>
    <w:uiPriority w:val="9"/>
    <w:qFormat/>
    <w:rsid w:val="009D5776"/>
    <w:pPr>
      <w:keepNext/>
      <w:keepLines/>
      <w:numPr>
        <w:numId w:val="3"/>
      </w:numPr>
      <w:spacing w:before="240" w:line="480" w:lineRule="auto"/>
      <w:ind w:left="36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EF6958"/>
    <w:pPr>
      <w:keepNext/>
      <w:keepLines/>
      <w:numPr>
        <w:numId w:val="4"/>
      </w:numPr>
      <w:tabs>
        <w:tab w:val="left" w:pos="720"/>
      </w:tabs>
      <w:spacing w:before="240" w:after="240"/>
      <w:ind w:hanging="720"/>
      <w:outlineLvl w:val="1"/>
    </w:pPr>
    <w:rPr>
      <w:rFonts w:eastAsiaTheme="majorEastAsia" w:cstheme="majorBidi"/>
      <w:b/>
      <w:szCs w:val="26"/>
      <w:lang w:eastAsia="en-US"/>
    </w:rPr>
  </w:style>
  <w:style w:type="paragraph" w:styleId="Heading3">
    <w:name w:val="heading 3"/>
    <w:basedOn w:val="Normal"/>
    <w:next w:val="Normal"/>
    <w:link w:val="Heading3Char"/>
    <w:uiPriority w:val="9"/>
    <w:unhideWhenUsed/>
    <w:qFormat/>
    <w:rsid w:val="00056695"/>
    <w:pPr>
      <w:keepNext/>
      <w:keepLines/>
      <w:numPr>
        <w:numId w:val="5"/>
      </w:numPr>
      <w:spacing w:before="240" w:after="240"/>
      <w:ind w:left="1440" w:hanging="720"/>
      <w:jc w:val="both"/>
      <w:outlineLvl w:val="2"/>
    </w:pPr>
    <w:rPr>
      <w:rFonts w:eastAsiaTheme="majorEastAsia" w:cstheme="majorBidi"/>
      <w:lang w:eastAsia="en-US"/>
    </w:rPr>
  </w:style>
  <w:style w:type="paragraph" w:styleId="Heading4">
    <w:name w:val="heading 4"/>
    <w:basedOn w:val="Normal"/>
    <w:next w:val="Normal"/>
    <w:link w:val="Heading4Char"/>
    <w:uiPriority w:val="9"/>
    <w:unhideWhenUsed/>
    <w:qFormat/>
    <w:rsid w:val="00821E48"/>
    <w:pPr>
      <w:keepNext/>
      <w:keepLines/>
      <w:numPr>
        <w:numId w:val="7"/>
      </w:numPr>
      <w:spacing w:before="120" w:after="240"/>
      <w:ind w:left="1800"/>
      <w:jc w:val="both"/>
      <w:outlineLvl w:val="3"/>
    </w:pPr>
    <w:rPr>
      <w:rFonts w:eastAsiaTheme="majorEastAsia" w:cstheme="majorBidi"/>
      <w:i/>
      <w:iCs/>
      <w:lang w:eastAsia="en-US"/>
    </w:rPr>
  </w:style>
  <w:style w:type="paragraph" w:styleId="Heading5">
    <w:name w:val="heading 5"/>
    <w:basedOn w:val="Normal"/>
    <w:next w:val="Normal"/>
    <w:link w:val="Heading5Char"/>
    <w:uiPriority w:val="9"/>
    <w:semiHidden/>
    <w:unhideWhenUsed/>
    <w:qFormat/>
    <w:rsid w:val="00D60442"/>
    <w:pPr>
      <w:keepNext/>
      <w:keepLines/>
      <w:spacing w:before="40"/>
      <w:ind w:left="2880"/>
      <w:outlineLvl w:val="4"/>
    </w:pPr>
    <w:rPr>
      <w:rFonts w:asciiTheme="majorHAnsi" w:eastAsiaTheme="majorEastAsia" w:hAnsiTheme="majorHAnsi" w:cstheme="majorBidi"/>
      <w:color w:val="365F91" w:themeColor="accent1" w:themeShade="BF"/>
      <w:lang w:eastAsia="en-US"/>
    </w:rPr>
  </w:style>
  <w:style w:type="paragraph" w:styleId="Heading6">
    <w:name w:val="heading 6"/>
    <w:basedOn w:val="Normal"/>
    <w:next w:val="Normal"/>
    <w:link w:val="Heading6Char"/>
    <w:uiPriority w:val="9"/>
    <w:semiHidden/>
    <w:unhideWhenUsed/>
    <w:qFormat/>
    <w:rsid w:val="00D60442"/>
    <w:pPr>
      <w:keepNext/>
      <w:keepLines/>
      <w:spacing w:before="40"/>
      <w:ind w:left="3600"/>
      <w:outlineLvl w:val="5"/>
    </w:pPr>
    <w:rPr>
      <w:rFonts w:asciiTheme="majorHAnsi" w:eastAsiaTheme="majorEastAsia" w:hAnsiTheme="majorHAnsi" w:cstheme="majorBidi"/>
      <w:color w:val="243F60" w:themeColor="accent1" w:themeShade="7F"/>
      <w:lang w:eastAsia="en-US"/>
    </w:rPr>
  </w:style>
  <w:style w:type="paragraph" w:styleId="Heading7">
    <w:name w:val="heading 7"/>
    <w:basedOn w:val="Normal"/>
    <w:next w:val="Normal"/>
    <w:link w:val="Heading7Char"/>
    <w:uiPriority w:val="9"/>
    <w:semiHidden/>
    <w:unhideWhenUsed/>
    <w:qFormat/>
    <w:rsid w:val="00D60442"/>
    <w:pPr>
      <w:keepNext/>
      <w:keepLines/>
      <w:spacing w:before="40"/>
      <w:ind w:left="4320"/>
      <w:outlineLvl w:val="6"/>
    </w:pPr>
    <w:rPr>
      <w:rFonts w:asciiTheme="majorHAnsi" w:eastAsiaTheme="majorEastAsia" w:hAnsiTheme="majorHAnsi" w:cstheme="majorBidi"/>
      <w:i/>
      <w:iCs/>
      <w:color w:val="243F60" w:themeColor="accent1" w:themeShade="7F"/>
      <w:lang w:eastAsia="en-US"/>
    </w:rPr>
  </w:style>
  <w:style w:type="paragraph" w:styleId="Heading8">
    <w:name w:val="heading 8"/>
    <w:basedOn w:val="Normal"/>
    <w:next w:val="Normal"/>
    <w:link w:val="Heading8Char"/>
    <w:uiPriority w:val="9"/>
    <w:semiHidden/>
    <w:unhideWhenUsed/>
    <w:qFormat/>
    <w:rsid w:val="00D60442"/>
    <w:pPr>
      <w:keepNext/>
      <w:keepLines/>
      <w:spacing w:before="40"/>
      <w:ind w:left="50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D60442"/>
    <w:pPr>
      <w:keepNext/>
      <w:keepLines/>
      <w:spacing w:before="40"/>
      <w:ind w:left="576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B8A"/>
    <w:pPr>
      <w:widowControl w:val="0"/>
      <w:spacing w:after="240"/>
      <w:ind w:firstLine="720"/>
    </w:pPr>
  </w:style>
  <w:style w:type="character" w:customStyle="1" w:styleId="BodyTextChar">
    <w:name w:val="Body Text Char"/>
    <w:basedOn w:val="DefaultParagraphFont"/>
    <w:link w:val="BodyText"/>
    <w:rsid w:val="00C036EA"/>
    <w:rPr>
      <w:rFonts w:cs="Times New Roman"/>
      <w:szCs w:val="24"/>
    </w:rPr>
  </w:style>
  <w:style w:type="paragraph" w:customStyle="1" w:styleId="BodyTextContinued">
    <w:name w:val="Body Text Continued"/>
    <w:basedOn w:val="BodyText"/>
    <w:next w:val="BodyText"/>
    <w:rsid w:val="00D20B8A"/>
    <w:pPr>
      <w:ind w:firstLine="0"/>
    </w:pPr>
    <w:rPr>
      <w:szCs w:val="20"/>
    </w:rPr>
  </w:style>
  <w:style w:type="paragraph" w:styleId="Quote">
    <w:name w:val="Quote"/>
    <w:basedOn w:val="Normal"/>
    <w:next w:val="BodyTextContinued"/>
    <w:link w:val="QuoteChar"/>
    <w:qFormat/>
    <w:rsid w:val="00D20B8A"/>
    <w:pPr>
      <w:spacing w:after="240"/>
      <w:ind w:left="1440" w:right="1440"/>
    </w:pPr>
    <w:rPr>
      <w:szCs w:val="20"/>
    </w:rPr>
  </w:style>
  <w:style w:type="character" w:customStyle="1" w:styleId="QuoteChar">
    <w:name w:val="Quote Char"/>
    <w:basedOn w:val="DefaultParagraphFont"/>
    <w:link w:val="Quote"/>
    <w:rsid w:val="00C036EA"/>
    <w:rPr>
      <w:rFonts w:cs="Times New Roman"/>
      <w:szCs w:val="20"/>
    </w:rPr>
  </w:style>
  <w:style w:type="paragraph" w:styleId="Header">
    <w:name w:val="header"/>
    <w:basedOn w:val="Normal"/>
    <w:link w:val="HeaderChar"/>
    <w:rsid w:val="00D20B8A"/>
    <w:pPr>
      <w:tabs>
        <w:tab w:val="center" w:pos="4680"/>
        <w:tab w:val="right" w:pos="9360"/>
      </w:tabs>
    </w:pPr>
  </w:style>
  <w:style w:type="character" w:customStyle="1" w:styleId="HeaderChar">
    <w:name w:val="Header Char"/>
    <w:basedOn w:val="DefaultParagraphFont"/>
    <w:link w:val="Header"/>
    <w:rsid w:val="00C036EA"/>
    <w:rPr>
      <w:rFonts w:cs="Times New Roman"/>
      <w:szCs w:val="24"/>
    </w:rPr>
  </w:style>
  <w:style w:type="paragraph" w:styleId="Footer">
    <w:name w:val="footer"/>
    <w:aliases w:val="ft"/>
    <w:basedOn w:val="Normal"/>
    <w:link w:val="FooterChar"/>
    <w:uiPriority w:val="99"/>
    <w:rsid w:val="00D20B8A"/>
    <w:pPr>
      <w:tabs>
        <w:tab w:val="center" w:pos="4680"/>
        <w:tab w:val="right" w:pos="9360"/>
      </w:tabs>
    </w:pPr>
  </w:style>
  <w:style w:type="character" w:customStyle="1" w:styleId="FooterChar">
    <w:name w:val="Footer Char"/>
    <w:aliases w:val="ft Char"/>
    <w:basedOn w:val="DefaultParagraphFont"/>
    <w:link w:val="Footer"/>
    <w:uiPriority w:val="99"/>
    <w:rsid w:val="00C036EA"/>
    <w:rPr>
      <w:rFonts w:cs="Times New Roman"/>
      <w:szCs w:val="24"/>
    </w:rPr>
  </w:style>
  <w:style w:type="character" w:styleId="PageNumber">
    <w:name w:val="page number"/>
    <w:basedOn w:val="DefaultParagraphFont"/>
    <w:rsid w:val="00D20B8A"/>
  </w:style>
  <w:style w:type="paragraph" w:styleId="Title">
    <w:name w:val="Title"/>
    <w:basedOn w:val="Normal"/>
    <w:next w:val="BodyText"/>
    <w:link w:val="TitleChar"/>
    <w:qFormat/>
    <w:rsid w:val="00783821"/>
    <w:pPr>
      <w:spacing w:before="240" w:after="120"/>
      <w:jc w:val="center"/>
      <w:outlineLvl w:val="0"/>
    </w:pPr>
    <w:rPr>
      <w:rFonts w:cs="Arial"/>
      <w:b/>
      <w:bCs/>
      <w:caps/>
      <w:kern w:val="28"/>
      <w:szCs w:val="32"/>
      <w:u w:val="single"/>
    </w:rPr>
  </w:style>
  <w:style w:type="character" w:customStyle="1" w:styleId="TitleChar">
    <w:name w:val="Title Char"/>
    <w:basedOn w:val="DefaultParagraphFont"/>
    <w:link w:val="Title"/>
    <w:rsid w:val="00783821"/>
    <w:rPr>
      <w:rFonts w:eastAsia="SimSun" w:cs="Arial"/>
      <w:b/>
      <w:bCs/>
      <w:caps/>
      <w:kern w:val="28"/>
      <w:szCs w:val="32"/>
      <w:u w:val="single"/>
      <w:lang w:eastAsia="zh-CN"/>
    </w:rPr>
  </w:style>
  <w:style w:type="paragraph" w:styleId="BlockText">
    <w:name w:val="Block Text"/>
    <w:aliases w:val="Block Indent"/>
    <w:basedOn w:val="Normal"/>
    <w:qFormat/>
    <w:rsid w:val="005A0108"/>
    <w:pPr>
      <w:spacing w:before="120" w:after="120"/>
      <w:ind w:left="1440" w:right="1440"/>
    </w:pPr>
  </w:style>
  <w:style w:type="paragraph" w:styleId="Closing">
    <w:name w:val="Closing"/>
    <w:basedOn w:val="Normal"/>
    <w:link w:val="ClosingChar"/>
    <w:rsid w:val="005A0108"/>
    <w:pPr>
      <w:ind w:left="4320"/>
    </w:pPr>
  </w:style>
  <w:style w:type="character" w:customStyle="1" w:styleId="ClosingChar">
    <w:name w:val="Closing Char"/>
    <w:basedOn w:val="DefaultParagraphFont"/>
    <w:link w:val="Closing"/>
    <w:rsid w:val="005A0108"/>
    <w:rPr>
      <w:rFonts w:eastAsia="SimSun" w:cs="Times New Roman"/>
      <w:szCs w:val="24"/>
      <w:lang w:eastAsia="zh-CN"/>
    </w:rPr>
  </w:style>
  <w:style w:type="paragraph" w:styleId="Signature">
    <w:name w:val="Signature"/>
    <w:basedOn w:val="Normal"/>
    <w:link w:val="SignatureChar"/>
    <w:rsid w:val="005A0108"/>
    <w:pPr>
      <w:ind w:left="4320"/>
    </w:pPr>
  </w:style>
  <w:style w:type="character" w:customStyle="1" w:styleId="SignatureChar">
    <w:name w:val="Signature Char"/>
    <w:basedOn w:val="DefaultParagraphFont"/>
    <w:link w:val="Signature"/>
    <w:rsid w:val="005A0108"/>
    <w:rPr>
      <w:rFonts w:eastAsia="SimSun" w:cs="Times New Roman"/>
      <w:szCs w:val="24"/>
      <w:lang w:eastAsia="zh-CN"/>
    </w:rPr>
  </w:style>
  <w:style w:type="paragraph" w:styleId="Subtitle">
    <w:name w:val="Subtitle"/>
    <w:basedOn w:val="Normal"/>
    <w:link w:val="SubtitleChar"/>
    <w:qFormat/>
    <w:rsid w:val="005A0108"/>
    <w:pPr>
      <w:spacing w:before="120" w:after="240"/>
      <w:outlineLvl w:val="1"/>
    </w:pPr>
    <w:rPr>
      <w:rFonts w:cs="Arial"/>
      <w:b/>
    </w:rPr>
  </w:style>
  <w:style w:type="character" w:customStyle="1" w:styleId="SubtitleChar">
    <w:name w:val="Subtitle Char"/>
    <w:basedOn w:val="DefaultParagraphFont"/>
    <w:link w:val="Subtitle"/>
    <w:rsid w:val="005A0108"/>
    <w:rPr>
      <w:rFonts w:eastAsia="SimSun" w:cs="Arial"/>
      <w:b/>
      <w:szCs w:val="24"/>
      <w:lang w:eastAsia="zh-CN"/>
    </w:rPr>
  </w:style>
  <w:style w:type="paragraph" w:styleId="EnvelopeAddress">
    <w:name w:val="envelope address"/>
    <w:basedOn w:val="Normal"/>
    <w:rsid w:val="005A0108"/>
    <w:pPr>
      <w:framePr w:w="7920" w:h="1980" w:hRule="exact" w:hSpace="180" w:wrap="auto" w:hAnchor="page" w:xAlign="center" w:yAlign="bottom"/>
      <w:ind w:left="2880"/>
    </w:pPr>
    <w:rPr>
      <w:rFonts w:cs="Arial"/>
    </w:rPr>
  </w:style>
  <w:style w:type="paragraph" w:styleId="EnvelopeReturn">
    <w:name w:val="envelope return"/>
    <w:basedOn w:val="Normal"/>
    <w:rsid w:val="005A0108"/>
    <w:rPr>
      <w:rFonts w:cs="Arial"/>
      <w:sz w:val="20"/>
      <w:szCs w:val="20"/>
    </w:rPr>
  </w:style>
  <w:style w:type="paragraph" w:customStyle="1" w:styleId="BodyTextDSFirstLine10Justified">
    <w:name w:val="Body Text DS First Line (1.0) Justified"/>
    <w:basedOn w:val="Normal"/>
    <w:rsid w:val="005A0108"/>
    <w:pPr>
      <w:spacing w:line="480" w:lineRule="auto"/>
      <w:ind w:firstLine="1440"/>
      <w:jc w:val="both"/>
    </w:pPr>
    <w:rPr>
      <w:rFonts w:eastAsia="Times New Roman"/>
      <w:lang w:eastAsia="en-US"/>
    </w:rPr>
  </w:style>
  <w:style w:type="paragraph" w:customStyle="1" w:styleId="BodyTextSSFirstLine5Justified">
    <w:name w:val="Body Text SS First Line (.5) Justified"/>
    <w:basedOn w:val="Normal"/>
    <w:rsid w:val="005A0108"/>
    <w:pPr>
      <w:spacing w:before="120" w:after="120"/>
      <w:ind w:firstLine="720"/>
      <w:jc w:val="both"/>
    </w:pPr>
  </w:style>
  <w:style w:type="paragraph" w:customStyle="1" w:styleId="BodyTextDSFirstLine5Justified">
    <w:name w:val="Body Text DS First Line (.5) Justified"/>
    <w:basedOn w:val="Normal"/>
    <w:rsid w:val="005A0108"/>
    <w:pPr>
      <w:spacing w:line="480" w:lineRule="auto"/>
      <w:ind w:firstLine="720"/>
      <w:jc w:val="both"/>
    </w:pPr>
  </w:style>
  <w:style w:type="paragraph" w:customStyle="1" w:styleId="BodyTextDSFirstLine5">
    <w:name w:val="Body Text DS First Line (.5)"/>
    <w:basedOn w:val="Normal"/>
    <w:rsid w:val="005A0108"/>
    <w:pPr>
      <w:spacing w:line="480" w:lineRule="auto"/>
      <w:ind w:firstLine="720"/>
    </w:pPr>
  </w:style>
  <w:style w:type="paragraph" w:customStyle="1" w:styleId="BodyTextDSFirstLine10">
    <w:name w:val="Body Text DS First Line (1.0)"/>
    <w:basedOn w:val="Normal"/>
    <w:rsid w:val="005A0108"/>
    <w:pPr>
      <w:spacing w:line="480" w:lineRule="auto"/>
      <w:ind w:firstLine="1440"/>
    </w:pPr>
  </w:style>
  <w:style w:type="paragraph" w:customStyle="1" w:styleId="BodyTextSSFirstLine5">
    <w:name w:val="Body Text SS First Line (.5 )"/>
    <w:basedOn w:val="Normal"/>
    <w:rsid w:val="005A0108"/>
    <w:pPr>
      <w:spacing w:before="120" w:after="120"/>
      <w:ind w:firstLine="720"/>
    </w:pPr>
  </w:style>
  <w:style w:type="paragraph" w:customStyle="1" w:styleId="BodyTextSSFirstLine10">
    <w:name w:val="Body Text SS First Line (1.0)"/>
    <w:basedOn w:val="Normal"/>
    <w:rsid w:val="005A0108"/>
    <w:pPr>
      <w:spacing w:before="120" w:after="120"/>
      <w:ind w:firstLine="1440"/>
    </w:pPr>
  </w:style>
  <w:style w:type="paragraph" w:customStyle="1" w:styleId="BodyTextSSFirstLine10Justified">
    <w:name w:val="Body Text SS First Line (1.0) Justified"/>
    <w:basedOn w:val="Normal"/>
    <w:rsid w:val="005A0108"/>
    <w:pPr>
      <w:spacing w:before="120" w:after="120"/>
      <w:ind w:firstLine="1440"/>
      <w:jc w:val="both"/>
    </w:pPr>
    <w:rPr>
      <w:rFonts w:eastAsia="Times New Roman"/>
      <w:lang w:eastAsia="en-US"/>
    </w:rPr>
  </w:style>
  <w:style w:type="paragraph" w:customStyle="1" w:styleId="Heading">
    <w:name w:val="Heading"/>
    <w:basedOn w:val="Normal"/>
    <w:rsid w:val="005A0108"/>
    <w:pPr>
      <w:spacing w:after="240"/>
      <w:jc w:val="center"/>
    </w:pPr>
    <w:rPr>
      <w:b/>
      <w:caps/>
      <w:u w:val="single"/>
    </w:rPr>
  </w:style>
  <w:style w:type="paragraph" w:customStyle="1" w:styleId="BodyTextLevel3">
    <w:name w:val="Body Text Level 3"/>
    <w:basedOn w:val="BodyText"/>
    <w:rsid w:val="005A0108"/>
    <w:pPr>
      <w:widowControl/>
      <w:spacing w:before="120" w:after="120"/>
      <w:ind w:firstLine="2160"/>
      <w:jc w:val="both"/>
    </w:pPr>
  </w:style>
  <w:style w:type="paragraph" w:customStyle="1" w:styleId="Answer">
    <w:name w:val="Answer"/>
    <w:basedOn w:val="Answer1"/>
    <w:next w:val="Answer2"/>
    <w:link w:val="AnswerChar"/>
    <w:rsid w:val="005A0108"/>
    <w:pPr>
      <w:ind w:left="720" w:hanging="720"/>
      <w:jc w:val="both"/>
    </w:pPr>
    <w:rPr>
      <w:rFonts w:eastAsia="MS Mincho"/>
      <w:bCs/>
    </w:rPr>
  </w:style>
  <w:style w:type="paragraph" w:customStyle="1" w:styleId="Answer1">
    <w:name w:val="Answer 1"/>
    <w:basedOn w:val="Normal"/>
    <w:next w:val="BodyText"/>
    <w:link w:val="Answer1Char"/>
    <w:rsid w:val="005A0108"/>
    <w:pPr>
      <w:numPr>
        <w:numId w:val="1"/>
      </w:numPr>
      <w:spacing w:before="240" w:after="240" w:line="480" w:lineRule="auto"/>
      <w:outlineLvl w:val="0"/>
    </w:pPr>
    <w:rPr>
      <w:rFonts w:eastAsia="Times New Roman"/>
    </w:rPr>
  </w:style>
  <w:style w:type="paragraph" w:customStyle="1" w:styleId="Answer2">
    <w:name w:val="Answer 2"/>
    <w:basedOn w:val="Normal"/>
    <w:next w:val="BodyText"/>
    <w:link w:val="Answer2Char"/>
    <w:rsid w:val="005A0108"/>
    <w:pPr>
      <w:numPr>
        <w:ilvl w:val="1"/>
        <w:numId w:val="1"/>
      </w:numPr>
      <w:tabs>
        <w:tab w:val="clear" w:pos="0"/>
      </w:tabs>
      <w:spacing w:after="240" w:line="480" w:lineRule="auto"/>
      <w:jc w:val="both"/>
      <w:outlineLvl w:val="1"/>
    </w:pPr>
    <w:rPr>
      <w:rFonts w:eastAsia="MS Mincho"/>
      <w:lang w:eastAsia="en-US"/>
    </w:rPr>
  </w:style>
  <w:style w:type="character" w:customStyle="1" w:styleId="zzmpTrailerItem">
    <w:name w:val="zzmpTrailerItem"/>
    <w:basedOn w:val="DefaultParagraphFont"/>
    <w:rsid w:val="003F31BE"/>
    <w:rPr>
      <w:rFonts w:ascii="Times New Roman" w:hAnsi="Times New Roman" w:cs="Times New Roman"/>
      <w:dstrike w:val="0"/>
      <w:noProof/>
      <w:color w:val="auto"/>
      <w:spacing w:val="0"/>
      <w:position w:val="0"/>
      <w:sz w:val="16"/>
      <w:szCs w:val="16"/>
      <w:u w:val="none"/>
      <w:effect w:val="none"/>
      <w:vertAlign w:val="baseline"/>
    </w:rPr>
  </w:style>
  <w:style w:type="paragraph" w:styleId="FootnoteText">
    <w:name w:val="footnote text"/>
    <w:basedOn w:val="Normal"/>
    <w:link w:val="FootnoteTextChar"/>
    <w:uiPriority w:val="99"/>
    <w:rsid w:val="005A0108"/>
    <w:rPr>
      <w:sz w:val="20"/>
      <w:szCs w:val="20"/>
    </w:rPr>
  </w:style>
  <w:style w:type="character" w:customStyle="1" w:styleId="FootnoteTextChar">
    <w:name w:val="Footnote Text Char"/>
    <w:basedOn w:val="DefaultParagraphFont"/>
    <w:link w:val="FootnoteText"/>
    <w:uiPriority w:val="99"/>
    <w:rsid w:val="005A0108"/>
    <w:rPr>
      <w:rFonts w:eastAsia="SimSun" w:cs="Times New Roman"/>
      <w:sz w:val="20"/>
      <w:szCs w:val="20"/>
      <w:lang w:eastAsia="zh-CN"/>
    </w:rPr>
  </w:style>
  <w:style w:type="character" w:styleId="FootnoteReference">
    <w:name w:val="footnote reference"/>
    <w:basedOn w:val="DefaultParagraphFont"/>
    <w:rsid w:val="005A0108"/>
    <w:rPr>
      <w:vertAlign w:val="superscript"/>
    </w:rPr>
  </w:style>
  <w:style w:type="character" w:customStyle="1" w:styleId="Answer2Char">
    <w:name w:val="Answer 2 Char"/>
    <w:basedOn w:val="DefaultParagraphFont"/>
    <w:link w:val="Answer2"/>
    <w:rsid w:val="005A0108"/>
    <w:rPr>
      <w:rFonts w:eastAsia="MS Mincho" w:cs="Times New Roman"/>
      <w:szCs w:val="24"/>
    </w:rPr>
  </w:style>
  <w:style w:type="paragraph" w:customStyle="1" w:styleId="OutlineCont1">
    <w:name w:val="Outline Cont 1"/>
    <w:basedOn w:val="Normal"/>
    <w:rsid w:val="005A0108"/>
    <w:pPr>
      <w:spacing w:after="240"/>
      <w:ind w:firstLine="720"/>
    </w:pPr>
    <w:rPr>
      <w:rFonts w:eastAsia="Times New Roman"/>
      <w:szCs w:val="20"/>
      <w:lang w:eastAsia="en-US"/>
    </w:rPr>
  </w:style>
  <w:style w:type="paragraph" w:customStyle="1" w:styleId="OutlineCont2">
    <w:name w:val="Outline Cont 2"/>
    <w:basedOn w:val="OutlineCont1"/>
    <w:rsid w:val="005A0108"/>
    <w:pPr>
      <w:ind w:firstLine="1440"/>
    </w:pPr>
  </w:style>
  <w:style w:type="paragraph" w:customStyle="1" w:styleId="OutlineCont3">
    <w:name w:val="Outline Cont 3"/>
    <w:basedOn w:val="OutlineCont2"/>
    <w:rsid w:val="005A0108"/>
    <w:pPr>
      <w:ind w:firstLine="2160"/>
    </w:pPr>
  </w:style>
  <w:style w:type="paragraph" w:customStyle="1" w:styleId="OutlineCont4">
    <w:name w:val="Outline Cont 4"/>
    <w:basedOn w:val="OutlineCont3"/>
    <w:rsid w:val="005A0108"/>
    <w:pPr>
      <w:ind w:firstLine="2880"/>
    </w:pPr>
  </w:style>
  <w:style w:type="paragraph" w:customStyle="1" w:styleId="OutlineCont5">
    <w:name w:val="Outline Cont 5"/>
    <w:basedOn w:val="OutlineCont4"/>
    <w:rsid w:val="005A0108"/>
    <w:pPr>
      <w:ind w:firstLine="3600"/>
    </w:pPr>
  </w:style>
  <w:style w:type="paragraph" w:customStyle="1" w:styleId="OutlineCont6">
    <w:name w:val="Outline Cont 6"/>
    <w:basedOn w:val="OutlineCont5"/>
    <w:rsid w:val="005A0108"/>
    <w:pPr>
      <w:ind w:firstLine="4320"/>
    </w:pPr>
  </w:style>
  <w:style w:type="paragraph" w:customStyle="1" w:styleId="OutlineCont7">
    <w:name w:val="Outline Cont 7"/>
    <w:basedOn w:val="OutlineCont6"/>
    <w:rsid w:val="005A0108"/>
    <w:pPr>
      <w:ind w:firstLine="5040"/>
    </w:pPr>
  </w:style>
  <w:style w:type="paragraph" w:customStyle="1" w:styleId="OutlineCont8">
    <w:name w:val="Outline Cont 8"/>
    <w:basedOn w:val="OutlineCont7"/>
    <w:rsid w:val="005A0108"/>
    <w:pPr>
      <w:ind w:firstLine="5760"/>
    </w:pPr>
  </w:style>
  <w:style w:type="paragraph" w:customStyle="1" w:styleId="OutlineCont9">
    <w:name w:val="Outline Cont 9"/>
    <w:basedOn w:val="OutlineCont8"/>
    <w:rsid w:val="005A0108"/>
    <w:pPr>
      <w:ind w:firstLine="6480"/>
    </w:pPr>
  </w:style>
  <w:style w:type="paragraph" w:customStyle="1" w:styleId="OutlineL1">
    <w:name w:val="Outline_L1"/>
    <w:basedOn w:val="Normal"/>
    <w:next w:val="BodyText"/>
    <w:rsid w:val="005A0108"/>
    <w:pPr>
      <w:numPr>
        <w:numId w:val="2"/>
      </w:numPr>
      <w:spacing w:after="240"/>
      <w:outlineLvl w:val="0"/>
    </w:pPr>
    <w:rPr>
      <w:rFonts w:eastAsia="Times New Roman"/>
      <w:szCs w:val="20"/>
      <w:lang w:eastAsia="en-US"/>
    </w:rPr>
  </w:style>
  <w:style w:type="paragraph" w:customStyle="1" w:styleId="OutlineL2">
    <w:name w:val="Outline_L2"/>
    <w:basedOn w:val="OutlineL1"/>
    <w:next w:val="BodyText"/>
    <w:rsid w:val="005A0108"/>
    <w:pPr>
      <w:numPr>
        <w:ilvl w:val="1"/>
      </w:numPr>
      <w:outlineLvl w:val="1"/>
    </w:pPr>
  </w:style>
  <w:style w:type="paragraph" w:customStyle="1" w:styleId="OutlineL3">
    <w:name w:val="Outline_L3"/>
    <w:basedOn w:val="OutlineL2"/>
    <w:next w:val="BodyText"/>
    <w:rsid w:val="005A0108"/>
    <w:pPr>
      <w:numPr>
        <w:ilvl w:val="0"/>
        <w:numId w:val="0"/>
      </w:numPr>
      <w:outlineLvl w:val="2"/>
    </w:pPr>
  </w:style>
  <w:style w:type="paragraph" w:customStyle="1" w:styleId="OutlineL4">
    <w:name w:val="Outline_L4"/>
    <w:basedOn w:val="OutlineL3"/>
    <w:next w:val="BodyText"/>
    <w:rsid w:val="005A0108"/>
    <w:pPr>
      <w:numPr>
        <w:ilvl w:val="3"/>
      </w:numPr>
      <w:outlineLvl w:val="3"/>
    </w:pPr>
  </w:style>
  <w:style w:type="paragraph" w:customStyle="1" w:styleId="OutlineL5">
    <w:name w:val="Outline_L5"/>
    <w:basedOn w:val="OutlineL4"/>
    <w:next w:val="BodyText"/>
    <w:rsid w:val="005A0108"/>
    <w:pPr>
      <w:numPr>
        <w:ilvl w:val="4"/>
      </w:numPr>
      <w:outlineLvl w:val="4"/>
    </w:pPr>
  </w:style>
  <w:style w:type="paragraph" w:customStyle="1" w:styleId="OutlineL6">
    <w:name w:val="Outline_L6"/>
    <w:basedOn w:val="OutlineL5"/>
    <w:next w:val="BodyText"/>
    <w:rsid w:val="005A0108"/>
    <w:pPr>
      <w:numPr>
        <w:ilvl w:val="5"/>
      </w:numPr>
      <w:outlineLvl w:val="5"/>
    </w:pPr>
  </w:style>
  <w:style w:type="paragraph" w:customStyle="1" w:styleId="OutlineL7">
    <w:name w:val="Outline_L7"/>
    <w:basedOn w:val="OutlineL6"/>
    <w:next w:val="BodyText"/>
    <w:rsid w:val="005A0108"/>
    <w:pPr>
      <w:numPr>
        <w:ilvl w:val="6"/>
      </w:numPr>
      <w:outlineLvl w:val="6"/>
    </w:pPr>
  </w:style>
  <w:style w:type="paragraph" w:customStyle="1" w:styleId="OutlineL8">
    <w:name w:val="Outline_L8"/>
    <w:basedOn w:val="OutlineL7"/>
    <w:next w:val="BodyText"/>
    <w:rsid w:val="005A0108"/>
    <w:pPr>
      <w:numPr>
        <w:ilvl w:val="7"/>
      </w:numPr>
      <w:outlineLvl w:val="7"/>
    </w:pPr>
  </w:style>
  <w:style w:type="paragraph" w:customStyle="1" w:styleId="OutlineL9">
    <w:name w:val="Outline_L9"/>
    <w:basedOn w:val="OutlineL8"/>
    <w:next w:val="BodyText"/>
    <w:rsid w:val="005A0108"/>
    <w:pPr>
      <w:numPr>
        <w:ilvl w:val="8"/>
      </w:numPr>
      <w:outlineLvl w:val="8"/>
    </w:pPr>
  </w:style>
  <w:style w:type="character" w:customStyle="1" w:styleId="AnswerChar">
    <w:name w:val="Answer Char"/>
    <w:basedOn w:val="DefaultParagraphFont"/>
    <w:link w:val="Answer"/>
    <w:rsid w:val="005A0108"/>
    <w:rPr>
      <w:rFonts w:eastAsia="MS Mincho" w:cs="Times New Roman"/>
      <w:bCs/>
      <w:szCs w:val="24"/>
      <w:lang w:eastAsia="zh-CN"/>
    </w:rPr>
  </w:style>
  <w:style w:type="paragraph" w:styleId="ListParagraph">
    <w:name w:val="List Paragraph"/>
    <w:basedOn w:val="Normal"/>
    <w:uiPriority w:val="34"/>
    <w:qFormat/>
    <w:rsid w:val="005A0108"/>
    <w:pPr>
      <w:spacing w:after="200" w:line="276" w:lineRule="auto"/>
      <w:ind w:left="720"/>
    </w:pPr>
    <w:rPr>
      <w:rFonts w:ascii="Calibri" w:eastAsia="Times New Roman" w:hAnsi="Calibri"/>
      <w:sz w:val="22"/>
      <w:szCs w:val="22"/>
      <w:lang w:eastAsia="en-US"/>
    </w:rPr>
  </w:style>
  <w:style w:type="character" w:styleId="CommentReference">
    <w:name w:val="annotation reference"/>
    <w:basedOn w:val="DefaultParagraphFont"/>
    <w:uiPriority w:val="99"/>
    <w:semiHidden/>
    <w:rsid w:val="005A0108"/>
    <w:rPr>
      <w:sz w:val="16"/>
      <w:szCs w:val="16"/>
    </w:rPr>
  </w:style>
  <w:style w:type="paragraph" w:styleId="CommentText">
    <w:name w:val="annotation text"/>
    <w:basedOn w:val="Normal"/>
    <w:link w:val="CommentTextChar"/>
    <w:uiPriority w:val="99"/>
    <w:rsid w:val="005A0108"/>
    <w:rPr>
      <w:sz w:val="20"/>
      <w:szCs w:val="20"/>
    </w:rPr>
  </w:style>
  <w:style w:type="character" w:customStyle="1" w:styleId="CommentTextChar">
    <w:name w:val="Comment Text Char"/>
    <w:basedOn w:val="DefaultParagraphFont"/>
    <w:link w:val="CommentText"/>
    <w:uiPriority w:val="99"/>
    <w:rsid w:val="005A0108"/>
    <w:rPr>
      <w:rFonts w:eastAsia="SimSun" w:cs="Times New Roman"/>
      <w:sz w:val="20"/>
      <w:szCs w:val="20"/>
      <w:lang w:eastAsia="zh-CN"/>
    </w:rPr>
  </w:style>
  <w:style w:type="paragraph" w:styleId="BalloonText">
    <w:name w:val="Balloon Text"/>
    <w:basedOn w:val="Normal"/>
    <w:link w:val="BalloonTextChar"/>
    <w:uiPriority w:val="99"/>
    <w:semiHidden/>
    <w:unhideWhenUsed/>
    <w:rsid w:val="005A0108"/>
    <w:rPr>
      <w:rFonts w:ascii="Tahoma" w:hAnsi="Tahoma" w:cs="Tahoma"/>
      <w:sz w:val="16"/>
      <w:szCs w:val="16"/>
    </w:rPr>
  </w:style>
  <w:style w:type="character" w:customStyle="1" w:styleId="BalloonTextChar">
    <w:name w:val="Balloon Text Char"/>
    <w:basedOn w:val="DefaultParagraphFont"/>
    <w:link w:val="BalloonText"/>
    <w:uiPriority w:val="99"/>
    <w:semiHidden/>
    <w:rsid w:val="005A0108"/>
    <w:rPr>
      <w:rFonts w:ascii="Tahoma" w:eastAsia="SimSun" w:hAnsi="Tahoma" w:cs="Tahoma"/>
      <w:sz w:val="16"/>
      <w:szCs w:val="16"/>
      <w:lang w:eastAsia="zh-CN"/>
    </w:rPr>
  </w:style>
  <w:style w:type="character" w:customStyle="1" w:styleId="Answer1Char">
    <w:name w:val="Answer 1 Char"/>
    <w:link w:val="Answer1"/>
    <w:rsid w:val="005A0108"/>
    <w:rPr>
      <w:rFonts w:cs="Times New Roman"/>
      <w:szCs w:val="24"/>
      <w:lang w:eastAsia="zh-CN"/>
    </w:rPr>
  </w:style>
  <w:style w:type="paragraph" w:styleId="CommentSubject">
    <w:name w:val="annotation subject"/>
    <w:basedOn w:val="CommentText"/>
    <w:next w:val="CommentText"/>
    <w:link w:val="CommentSubjectChar"/>
    <w:uiPriority w:val="99"/>
    <w:semiHidden/>
    <w:unhideWhenUsed/>
    <w:rsid w:val="005A0108"/>
    <w:rPr>
      <w:b/>
      <w:bCs/>
    </w:rPr>
  </w:style>
  <w:style w:type="character" w:customStyle="1" w:styleId="CommentSubjectChar">
    <w:name w:val="Comment Subject Char"/>
    <w:basedOn w:val="CommentTextChar"/>
    <w:link w:val="CommentSubject"/>
    <w:uiPriority w:val="99"/>
    <w:semiHidden/>
    <w:rsid w:val="005A0108"/>
    <w:rPr>
      <w:rFonts w:eastAsia="SimSun" w:cs="Times New Roman"/>
      <w:b/>
      <w:bCs/>
      <w:sz w:val="20"/>
      <w:szCs w:val="20"/>
      <w:lang w:eastAsia="zh-CN"/>
    </w:rPr>
  </w:style>
  <w:style w:type="paragraph" w:styleId="Revision">
    <w:name w:val="Revision"/>
    <w:hidden/>
    <w:uiPriority w:val="99"/>
    <w:semiHidden/>
    <w:rsid w:val="005A0108"/>
    <w:rPr>
      <w:rFonts w:eastAsia="SimSun" w:cs="Times New Roman"/>
      <w:szCs w:val="24"/>
      <w:lang w:eastAsia="zh-CN"/>
    </w:rPr>
  </w:style>
  <w:style w:type="paragraph" w:styleId="NoSpacing">
    <w:name w:val="No Spacing"/>
    <w:uiPriority w:val="1"/>
    <w:qFormat/>
    <w:rsid w:val="00843530"/>
    <w:rPr>
      <w:rFonts w:asciiTheme="minorHAnsi" w:eastAsiaTheme="minorHAnsi" w:hAnsiTheme="minorHAnsi"/>
      <w:sz w:val="22"/>
    </w:rPr>
  </w:style>
  <w:style w:type="table" w:styleId="TableGrid">
    <w:name w:val="Table Grid"/>
    <w:basedOn w:val="TableNormal"/>
    <w:uiPriority w:val="59"/>
    <w:rsid w:val="007D2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5AC9"/>
    <w:pPr>
      <w:tabs>
        <w:tab w:val="left" w:pos="360"/>
        <w:tab w:val="left" w:pos="720"/>
        <w:tab w:val="left" w:leader="dot" w:pos="9072"/>
      </w:tabs>
      <w:spacing w:before="240" w:after="240"/>
      <w:ind w:left="360" w:hanging="360"/>
    </w:pPr>
    <w:rPr>
      <w:b/>
      <w:lang w:eastAsia="en-US"/>
    </w:rPr>
  </w:style>
  <w:style w:type="paragraph" w:styleId="TOC2">
    <w:name w:val="toc 2"/>
    <w:basedOn w:val="Normal"/>
    <w:next w:val="Normal"/>
    <w:autoRedefine/>
    <w:uiPriority w:val="39"/>
    <w:unhideWhenUsed/>
    <w:rsid w:val="00D60442"/>
    <w:pPr>
      <w:tabs>
        <w:tab w:val="left" w:pos="360"/>
      </w:tabs>
      <w:spacing w:after="100"/>
      <w:ind w:left="360" w:hanging="360"/>
    </w:pPr>
  </w:style>
  <w:style w:type="paragraph" w:styleId="TOC3">
    <w:name w:val="toc 3"/>
    <w:basedOn w:val="Normal"/>
    <w:next w:val="Normal"/>
    <w:autoRedefine/>
    <w:uiPriority w:val="39"/>
    <w:unhideWhenUsed/>
    <w:rsid w:val="00D60442"/>
    <w:pPr>
      <w:tabs>
        <w:tab w:val="left" w:pos="720"/>
        <w:tab w:val="left" w:pos="1080"/>
      </w:tabs>
      <w:spacing w:after="100"/>
      <w:ind w:left="720" w:hanging="360"/>
    </w:pPr>
  </w:style>
  <w:style w:type="character" w:styleId="Hyperlink">
    <w:name w:val="Hyperlink"/>
    <w:basedOn w:val="DefaultParagraphFont"/>
    <w:uiPriority w:val="99"/>
    <w:unhideWhenUsed/>
    <w:rsid w:val="00D60442"/>
    <w:rPr>
      <w:color w:val="0000FF" w:themeColor="hyperlink"/>
      <w:u w:val="single"/>
    </w:rPr>
  </w:style>
  <w:style w:type="character" w:customStyle="1" w:styleId="Heading1Char">
    <w:name w:val="Heading 1 Char"/>
    <w:basedOn w:val="DefaultParagraphFont"/>
    <w:link w:val="Heading1"/>
    <w:uiPriority w:val="9"/>
    <w:rsid w:val="009D5776"/>
    <w:rPr>
      <w:rFonts w:eastAsiaTheme="majorEastAsia" w:cstheme="majorBidi"/>
      <w:b/>
      <w:szCs w:val="32"/>
    </w:rPr>
  </w:style>
  <w:style w:type="paragraph" w:styleId="TOCHeading">
    <w:name w:val="TOC Heading"/>
    <w:basedOn w:val="Heading1"/>
    <w:next w:val="Normal"/>
    <w:uiPriority w:val="39"/>
    <w:unhideWhenUsed/>
    <w:qFormat/>
    <w:rsid w:val="00D60442"/>
    <w:pPr>
      <w:spacing w:line="259" w:lineRule="auto"/>
      <w:outlineLvl w:val="9"/>
    </w:pPr>
  </w:style>
  <w:style w:type="character" w:customStyle="1" w:styleId="Heading2Char">
    <w:name w:val="Heading 2 Char"/>
    <w:basedOn w:val="DefaultParagraphFont"/>
    <w:link w:val="Heading2"/>
    <w:uiPriority w:val="9"/>
    <w:rsid w:val="00EF6958"/>
    <w:rPr>
      <w:rFonts w:eastAsiaTheme="majorEastAsia" w:cstheme="majorBidi"/>
      <w:b/>
      <w:szCs w:val="26"/>
    </w:rPr>
  </w:style>
  <w:style w:type="character" w:customStyle="1" w:styleId="Heading3Char">
    <w:name w:val="Heading 3 Char"/>
    <w:basedOn w:val="DefaultParagraphFont"/>
    <w:link w:val="Heading3"/>
    <w:uiPriority w:val="9"/>
    <w:rsid w:val="00056695"/>
    <w:rPr>
      <w:rFonts w:eastAsiaTheme="majorEastAsia" w:cstheme="majorBidi"/>
      <w:szCs w:val="24"/>
    </w:rPr>
  </w:style>
  <w:style w:type="character" w:customStyle="1" w:styleId="Heading4Char">
    <w:name w:val="Heading 4 Char"/>
    <w:basedOn w:val="DefaultParagraphFont"/>
    <w:link w:val="Heading4"/>
    <w:uiPriority w:val="9"/>
    <w:rsid w:val="00821E48"/>
    <w:rPr>
      <w:rFonts w:eastAsiaTheme="majorEastAsia" w:cstheme="majorBidi"/>
      <w:i/>
      <w:iCs/>
      <w:szCs w:val="24"/>
    </w:rPr>
  </w:style>
  <w:style w:type="character" w:customStyle="1" w:styleId="Heading5Char">
    <w:name w:val="Heading 5 Char"/>
    <w:basedOn w:val="DefaultParagraphFont"/>
    <w:link w:val="Heading5"/>
    <w:uiPriority w:val="9"/>
    <w:semiHidden/>
    <w:rsid w:val="00D60442"/>
    <w:rPr>
      <w:rFonts w:asciiTheme="majorHAnsi" w:eastAsiaTheme="majorEastAsia" w:hAnsiTheme="majorHAnsi" w:cstheme="majorBidi"/>
      <w:color w:val="365F91" w:themeColor="accent1" w:themeShade="BF"/>
      <w:szCs w:val="24"/>
    </w:rPr>
  </w:style>
  <w:style w:type="character" w:customStyle="1" w:styleId="Heading6Char">
    <w:name w:val="Heading 6 Char"/>
    <w:basedOn w:val="DefaultParagraphFont"/>
    <w:link w:val="Heading6"/>
    <w:uiPriority w:val="9"/>
    <w:semiHidden/>
    <w:rsid w:val="00D60442"/>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D60442"/>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uiPriority w:val="9"/>
    <w:semiHidden/>
    <w:rsid w:val="00D6044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60442"/>
    <w:rPr>
      <w:rFonts w:asciiTheme="majorHAnsi" w:eastAsiaTheme="majorEastAsia" w:hAnsiTheme="majorHAnsi" w:cstheme="majorBidi"/>
      <w:i/>
      <w:iCs/>
      <w:color w:val="272727" w:themeColor="text1" w:themeTint="D8"/>
      <w:sz w:val="21"/>
      <w:szCs w:val="21"/>
    </w:rPr>
  </w:style>
  <w:style w:type="character" w:customStyle="1" w:styleId="Mention1">
    <w:name w:val="Mention1"/>
    <w:basedOn w:val="DefaultParagraphFont"/>
    <w:uiPriority w:val="99"/>
    <w:unhideWhenUsed/>
    <w:rsid w:val="00130157"/>
    <w:rPr>
      <w:color w:val="2B579A"/>
      <w:shd w:val="clear" w:color="auto" w:fill="E6E6E6"/>
    </w:rPr>
  </w:style>
  <w:style w:type="paragraph" w:customStyle="1" w:styleId="SSBodyText">
    <w:name w:val="SS Body Text"/>
    <w:basedOn w:val="Normal"/>
    <w:qFormat/>
    <w:rsid w:val="00CE6D51"/>
    <w:pPr>
      <w:spacing w:line="480" w:lineRule="auto"/>
      <w:ind w:firstLine="720"/>
      <w:jc w:val="both"/>
    </w:pPr>
    <w:rPr>
      <w:rFonts w:eastAsia="PMingLiU"/>
      <w:lang w:eastAsia="zh-TW"/>
    </w:rPr>
  </w:style>
  <w:style w:type="paragraph" w:styleId="TOC4">
    <w:name w:val="toc 4"/>
    <w:basedOn w:val="Normal"/>
    <w:next w:val="Normal"/>
    <w:autoRedefine/>
    <w:uiPriority w:val="39"/>
    <w:unhideWhenUsed/>
    <w:rsid w:val="008D2234"/>
    <w:pPr>
      <w:spacing w:after="100"/>
      <w:ind w:left="720"/>
    </w:pPr>
  </w:style>
  <w:style w:type="character" w:styleId="Mention">
    <w:name w:val="Mention"/>
    <w:basedOn w:val="DefaultParagraphFont"/>
    <w:uiPriority w:val="99"/>
    <w:rsid w:val="00B819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022C42DF2B2F42B01720971598790C" ma:contentTypeVersion="10" ma:contentTypeDescription="Create a new document." ma:contentTypeScope="" ma:versionID="db4df3b3515dbe228a0a96b64ec526a2">
  <xsd:schema xmlns:xsd="http://www.w3.org/2001/XMLSchema" xmlns:xs="http://www.w3.org/2001/XMLSchema" xmlns:p="http://schemas.microsoft.com/office/2006/metadata/properties" xmlns:ns2="cda97204-12a4-4db8-9438-c29916e3b7f9" xmlns:ns3="850be1ec-5fef-4875-bb69-1b2609bd8d8f" targetNamespace="http://schemas.microsoft.com/office/2006/metadata/properties" ma:root="true" ma:fieldsID="0f3d6ed7b833ab7ccd8a2bf1f89a6926" ns2:_="" ns3:_="">
    <xsd:import namespace="cda97204-12a4-4db8-9438-c29916e3b7f9"/>
    <xsd:import namespace="850be1ec-5fef-4875-bb69-1b2609bd8d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7204-12a4-4db8-9438-c29916e3b7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50be1ec-5fef-4875-bb69-1b2609bd8d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3A035-0689-4EF2-8981-2F9089DD5247}">
  <ds:schemaRefs>
    <ds:schemaRef ds:uri="http://schemas.microsoft.com/sharepoint/v3/contenttype/forms"/>
  </ds:schemaRefs>
</ds:datastoreItem>
</file>

<file path=customXml/itemProps2.xml><?xml version="1.0" encoding="utf-8"?>
<ds:datastoreItem xmlns:ds="http://schemas.openxmlformats.org/officeDocument/2006/customXml" ds:itemID="{4314F889-4E4B-4FBC-94A4-597F58977159}">
  <ds:schemaRefs>
    <ds:schemaRef ds:uri="http://schemas.openxmlformats.org/officeDocument/2006/bibliography"/>
  </ds:schemaRefs>
</ds:datastoreItem>
</file>

<file path=customXml/itemProps3.xml><?xml version="1.0" encoding="utf-8"?>
<ds:datastoreItem xmlns:ds="http://schemas.openxmlformats.org/officeDocument/2006/customXml" ds:itemID="{6607AD00-792A-4985-A3C0-764C807BD0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DC0111-00BA-4BFA-832C-C5D80AA64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7204-12a4-4db8-9438-c29916e3b7f9"/>
    <ds:schemaRef ds:uri="850be1ec-5fef-4875-bb69-1b2609bd8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40</Pages>
  <Words>10876</Words>
  <Characters>64714</Characters>
  <Application>Microsoft Office Word</Application>
  <DocSecurity>0</DocSecurity>
  <Lines>3406</Lines>
  <Paragraphs>1989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73601</CharactersWithSpaces>
  <SharedDoc>false</SharedDoc>
  <HLinks>
    <vt:vector size="192" baseType="variant">
      <vt:variant>
        <vt:i4>1441842</vt:i4>
      </vt:variant>
      <vt:variant>
        <vt:i4>146</vt:i4>
      </vt:variant>
      <vt:variant>
        <vt:i4>0</vt:i4>
      </vt:variant>
      <vt:variant>
        <vt:i4>5</vt:i4>
      </vt:variant>
      <vt:variant>
        <vt:lpwstr/>
      </vt:variant>
      <vt:variant>
        <vt:lpwstr>_Toc202366448</vt:lpwstr>
      </vt:variant>
      <vt:variant>
        <vt:i4>1441842</vt:i4>
      </vt:variant>
      <vt:variant>
        <vt:i4>140</vt:i4>
      </vt:variant>
      <vt:variant>
        <vt:i4>0</vt:i4>
      </vt:variant>
      <vt:variant>
        <vt:i4>5</vt:i4>
      </vt:variant>
      <vt:variant>
        <vt:lpwstr/>
      </vt:variant>
      <vt:variant>
        <vt:lpwstr>_Toc202366447</vt:lpwstr>
      </vt:variant>
      <vt:variant>
        <vt:i4>1441842</vt:i4>
      </vt:variant>
      <vt:variant>
        <vt:i4>134</vt:i4>
      </vt:variant>
      <vt:variant>
        <vt:i4>0</vt:i4>
      </vt:variant>
      <vt:variant>
        <vt:i4>5</vt:i4>
      </vt:variant>
      <vt:variant>
        <vt:lpwstr/>
      </vt:variant>
      <vt:variant>
        <vt:lpwstr>_Toc202366446</vt:lpwstr>
      </vt:variant>
      <vt:variant>
        <vt:i4>1441842</vt:i4>
      </vt:variant>
      <vt:variant>
        <vt:i4>128</vt:i4>
      </vt:variant>
      <vt:variant>
        <vt:i4>0</vt:i4>
      </vt:variant>
      <vt:variant>
        <vt:i4>5</vt:i4>
      </vt:variant>
      <vt:variant>
        <vt:lpwstr/>
      </vt:variant>
      <vt:variant>
        <vt:lpwstr>_Toc202366445</vt:lpwstr>
      </vt:variant>
      <vt:variant>
        <vt:i4>1441842</vt:i4>
      </vt:variant>
      <vt:variant>
        <vt:i4>122</vt:i4>
      </vt:variant>
      <vt:variant>
        <vt:i4>0</vt:i4>
      </vt:variant>
      <vt:variant>
        <vt:i4>5</vt:i4>
      </vt:variant>
      <vt:variant>
        <vt:lpwstr/>
      </vt:variant>
      <vt:variant>
        <vt:lpwstr>_Toc202366444</vt:lpwstr>
      </vt:variant>
      <vt:variant>
        <vt:i4>1441842</vt:i4>
      </vt:variant>
      <vt:variant>
        <vt:i4>116</vt:i4>
      </vt:variant>
      <vt:variant>
        <vt:i4>0</vt:i4>
      </vt:variant>
      <vt:variant>
        <vt:i4>5</vt:i4>
      </vt:variant>
      <vt:variant>
        <vt:lpwstr/>
      </vt:variant>
      <vt:variant>
        <vt:lpwstr>_Toc202366443</vt:lpwstr>
      </vt:variant>
      <vt:variant>
        <vt:i4>1441842</vt:i4>
      </vt:variant>
      <vt:variant>
        <vt:i4>110</vt:i4>
      </vt:variant>
      <vt:variant>
        <vt:i4>0</vt:i4>
      </vt:variant>
      <vt:variant>
        <vt:i4>5</vt:i4>
      </vt:variant>
      <vt:variant>
        <vt:lpwstr/>
      </vt:variant>
      <vt:variant>
        <vt:lpwstr>_Toc202366442</vt:lpwstr>
      </vt:variant>
      <vt:variant>
        <vt:i4>1441842</vt:i4>
      </vt:variant>
      <vt:variant>
        <vt:i4>104</vt:i4>
      </vt:variant>
      <vt:variant>
        <vt:i4>0</vt:i4>
      </vt:variant>
      <vt:variant>
        <vt:i4>5</vt:i4>
      </vt:variant>
      <vt:variant>
        <vt:lpwstr/>
      </vt:variant>
      <vt:variant>
        <vt:lpwstr>_Toc202366441</vt:lpwstr>
      </vt:variant>
      <vt:variant>
        <vt:i4>1441842</vt:i4>
      </vt:variant>
      <vt:variant>
        <vt:i4>98</vt:i4>
      </vt:variant>
      <vt:variant>
        <vt:i4>0</vt:i4>
      </vt:variant>
      <vt:variant>
        <vt:i4>5</vt:i4>
      </vt:variant>
      <vt:variant>
        <vt:lpwstr/>
      </vt:variant>
      <vt:variant>
        <vt:lpwstr>_Toc202366440</vt:lpwstr>
      </vt:variant>
      <vt:variant>
        <vt:i4>1114162</vt:i4>
      </vt:variant>
      <vt:variant>
        <vt:i4>92</vt:i4>
      </vt:variant>
      <vt:variant>
        <vt:i4>0</vt:i4>
      </vt:variant>
      <vt:variant>
        <vt:i4>5</vt:i4>
      </vt:variant>
      <vt:variant>
        <vt:lpwstr/>
      </vt:variant>
      <vt:variant>
        <vt:lpwstr>_Toc202366438</vt:lpwstr>
      </vt:variant>
      <vt:variant>
        <vt:i4>1114162</vt:i4>
      </vt:variant>
      <vt:variant>
        <vt:i4>86</vt:i4>
      </vt:variant>
      <vt:variant>
        <vt:i4>0</vt:i4>
      </vt:variant>
      <vt:variant>
        <vt:i4>5</vt:i4>
      </vt:variant>
      <vt:variant>
        <vt:lpwstr/>
      </vt:variant>
      <vt:variant>
        <vt:lpwstr>_Toc202366437</vt:lpwstr>
      </vt:variant>
      <vt:variant>
        <vt:i4>1114162</vt:i4>
      </vt:variant>
      <vt:variant>
        <vt:i4>80</vt:i4>
      </vt:variant>
      <vt:variant>
        <vt:i4>0</vt:i4>
      </vt:variant>
      <vt:variant>
        <vt:i4>5</vt:i4>
      </vt:variant>
      <vt:variant>
        <vt:lpwstr/>
      </vt:variant>
      <vt:variant>
        <vt:lpwstr>_Toc202366436</vt:lpwstr>
      </vt:variant>
      <vt:variant>
        <vt:i4>1114162</vt:i4>
      </vt:variant>
      <vt:variant>
        <vt:i4>74</vt:i4>
      </vt:variant>
      <vt:variant>
        <vt:i4>0</vt:i4>
      </vt:variant>
      <vt:variant>
        <vt:i4>5</vt:i4>
      </vt:variant>
      <vt:variant>
        <vt:lpwstr/>
      </vt:variant>
      <vt:variant>
        <vt:lpwstr>_Toc202366435</vt:lpwstr>
      </vt:variant>
      <vt:variant>
        <vt:i4>1114162</vt:i4>
      </vt:variant>
      <vt:variant>
        <vt:i4>68</vt:i4>
      </vt:variant>
      <vt:variant>
        <vt:i4>0</vt:i4>
      </vt:variant>
      <vt:variant>
        <vt:i4>5</vt:i4>
      </vt:variant>
      <vt:variant>
        <vt:lpwstr/>
      </vt:variant>
      <vt:variant>
        <vt:lpwstr>_Toc202366434</vt:lpwstr>
      </vt:variant>
      <vt:variant>
        <vt:i4>1114162</vt:i4>
      </vt:variant>
      <vt:variant>
        <vt:i4>62</vt:i4>
      </vt:variant>
      <vt:variant>
        <vt:i4>0</vt:i4>
      </vt:variant>
      <vt:variant>
        <vt:i4>5</vt:i4>
      </vt:variant>
      <vt:variant>
        <vt:lpwstr/>
      </vt:variant>
      <vt:variant>
        <vt:lpwstr>_Toc202366433</vt:lpwstr>
      </vt:variant>
      <vt:variant>
        <vt:i4>1114162</vt:i4>
      </vt:variant>
      <vt:variant>
        <vt:i4>56</vt:i4>
      </vt:variant>
      <vt:variant>
        <vt:i4>0</vt:i4>
      </vt:variant>
      <vt:variant>
        <vt:i4>5</vt:i4>
      </vt:variant>
      <vt:variant>
        <vt:lpwstr/>
      </vt:variant>
      <vt:variant>
        <vt:lpwstr>_Toc202366432</vt:lpwstr>
      </vt:variant>
      <vt:variant>
        <vt:i4>1114162</vt:i4>
      </vt:variant>
      <vt:variant>
        <vt:i4>50</vt:i4>
      </vt:variant>
      <vt:variant>
        <vt:i4>0</vt:i4>
      </vt:variant>
      <vt:variant>
        <vt:i4>5</vt:i4>
      </vt:variant>
      <vt:variant>
        <vt:lpwstr/>
      </vt:variant>
      <vt:variant>
        <vt:lpwstr>_Toc202366431</vt:lpwstr>
      </vt:variant>
      <vt:variant>
        <vt:i4>1114162</vt:i4>
      </vt:variant>
      <vt:variant>
        <vt:i4>44</vt:i4>
      </vt:variant>
      <vt:variant>
        <vt:i4>0</vt:i4>
      </vt:variant>
      <vt:variant>
        <vt:i4>5</vt:i4>
      </vt:variant>
      <vt:variant>
        <vt:lpwstr/>
      </vt:variant>
      <vt:variant>
        <vt:lpwstr>_Toc202366430</vt:lpwstr>
      </vt:variant>
      <vt:variant>
        <vt:i4>1048626</vt:i4>
      </vt:variant>
      <vt:variant>
        <vt:i4>38</vt:i4>
      </vt:variant>
      <vt:variant>
        <vt:i4>0</vt:i4>
      </vt:variant>
      <vt:variant>
        <vt:i4>5</vt:i4>
      </vt:variant>
      <vt:variant>
        <vt:lpwstr/>
      </vt:variant>
      <vt:variant>
        <vt:lpwstr>_Toc202366429</vt:lpwstr>
      </vt:variant>
      <vt:variant>
        <vt:i4>1048626</vt:i4>
      </vt:variant>
      <vt:variant>
        <vt:i4>32</vt:i4>
      </vt:variant>
      <vt:variant>
        <vt:i4>0</vt:i4>
      </vt:variant>
      <vt:variant>
        <vt:i4>5</vt:i4>
      </vt:variant>
      <vt:variant>
        <vt:lpwstr/>
      </vt:variant>
      <vt:variant>
        <vt:lpwstr>_Toc202366428</vt:lpwstr>
      </vt:variant>
      <vt:variant>
        <vt:i4>1048626</vt:i4>
      </vt:variant>
      <vt:variant>
        <vt:i4>26</vt:i4>
      </vt:variant>
      <vt:variant>
        <vt:i4>0</vt:i4>
      </vt:variant>
      <vt:variant>
        <vt:i4>5</vt:i4>
      </vt:variant>
      <vt:variant>
        <vt:lpwstr/>
      </vt:variant>
      <vt:variant>
        <vt:lpwstr>_Toc202366427</vt:lpwstr>
      </vt:variant>
      <vt:variant>
        <vt:i4>1048626</vt:i4>
      </vt:variant>
      <vt:variant>
        <vt:i4>20</vt:i4>
      </vt:variant>
      <vt:variant>
        <vt:i4>0</vt:i4>
      </vt:variant>
      <vt:variant>
        <vt:i4>5</vt:i4>
      </vt:variant>
      <vt:variant>
        <vt:lpwstr/>
      </vt:variant>
      <vt:variant>
        <vt:lpwstr>_Toc202366426</vt:lpwstr>
      </vt:variant>
      <vt:variant>
        <vt:i4>1048626</vt:i4>
      </vt:variant>
      <vt:variant>
        <vt:i4>14</vt:i4>
      </vt:variant>
      <vt:variant>
        <vt:i4>0</vt:i4>
      </vt:variant>
      <vt:variant>
        <vt:i4>5</vt:i4>
      </vt:variant>
      <vt:variant>
        <vt:lpwstr/>
      </vt:variant>
      <vt:variant>
        <vt:lpwstr>_Toc202366425</vt:lpwstr>
      </vt:variant>
      <vt:variant>
        <vt:i4>1048626</vt:i4>
      </vt:variant>
      <vt:variant>
        <vt:i4>8</vt:i4>
      </vt:variant>
      <vt:variant>
        <vt:i4>0</vt:i4>
      </vt:variant>
      <vt:variant>
        <vt:i4>5</vt:i4>
      </vt:variant>
      <vt:variant>
        <vt:lpwstr/>
      </vt:variant>
      <vt:variant>
        <vt:lpwstr>_Toc202366424</vt:lpwstr>
      </vt:variant>
      <vt:variant>
        <vt:i4>1048626</vt:i4>
      </vt:variant>
      <vt:variant>
        <vt:i4>2</vt:i4>
      </vt:variant>
      <vt:variant>
        <vt:i4>0</vt:i4>
      </vt:variant>
      <vt:variant>
        <vt:i4>5</vt:i4>
      </vt:variant>
      <vt:variant>
        <vt:lpwstr/>
      </vt:variant>
      <vt:variant>
        <vt:lpwstr>_Toc202366423</vt:lpwstr>
      </vt:variant>
      <vt:variant>
        <vt:i4>5308514</vt:i4>
      </vt:variant>
      <vt:variant>
        <vt:i4>18</vt:i4>
      </vt:variant>
      <vt:variant>
        <vt:i4>0</vt:i4>
      </vt:variant>
      <vt:variant>
        <vt:i4>5</vt:i4>
      </vt:variant>
      <vt:variant>
        <vt:lpwstr>mailto:CJMCCLOS@SOUTHERNCO.COM</vt:lpwstr>
      </vt:variant>
      <vt:variant>
        <vt:lpwstr/>
      </vt:variant>
      <vt:variant>
        <vt:i4>4587636</vt:i4>
      </vt:variant>
      <vt:variant>
        <vt:i4>15</vt:i4>
      </vt:variant>
      <vt:variant>
        <vt:i4>0</vt:i4>
      </vt:variant>
      <vt:variant>
        <vt:i4>5</vt:i4>
      </vt:variant>
      <vt:variant>
        <vt:lpwstr>mailto:JRGRUBB@southernco.com</vt:lpwstr>
      </vt:variant>
      <vt:variant>
        <vt:lpwstr/>
      </vt:variant>
      <vt:variant>
        <vt:i4>4587636</vt:i4>
      </vt:variant>
      <vt:variant>
        <vt:i4>12</vt:i4>
      </vt:variant>
      <vt:variant>
        <vt:i4>0</vt:i4>
      </vt:variant>
      <vt:variant>
        <vt:i4>5</vt:i4>
      </vt:variant>
      <vt:variant>
        <vt:lpwstr>mailto:JRGRUBB@southernco.com</vt:lpwstr>
      </vt:variant>
      <vt:variant>
        <vt:lpwstr/>
      </vt:variant>
      <vt:variant>
        <vt:i4>5636195</vt:i4>
      </vt:variant>
      <vt:variant>
        <vt:i4>9</vt:i4>
      </vt:variant>
      <vt:variant>
        <vt:i4>0</vt:i4>
      </vt:variant>
      <vt:variant>
        <vt:i4>5</vt:i4>
      </vt:variant>
      <vt:variant>
        <vt:lpwstr>mailto:JRHUBBER@southernco.com</vt:lpwstr>
      </vt:variant>
      <vt:variant>
        <vt:lpwstr/>
      </vt:variant>
      <vt:variant>
        <vt:i4>4587636</vt:i4>
      </vt:variant>
      <vt:variant>
        <vt:i4>6</vt:i4>
      </vt:variant>
      <vt:variant>
        <vt:i4>0</vt:i4>
      </vt:variant>
      <vt:variant>
        <vt:i4>5</vt:i4>
      </vt:variant>
      <vt:variant>
        <vt:lpwstr>mailto:JRGRUBB@southernco.com</vt:lpwstr>
      </vt:variant>
      <vt:variant>
        <vt:lpwstr/>
      </vt:variant>
      <vt:variant>
        <vt:i4>5636195</vt:i4>
      </vt:variant>
      <vt:variant>
        <vt:i4>3</vt:i4>
      </vt:variant>
      <vt:variant>
        <vt:i4>0</vt:i4>
      </vt:variant>
      <vt:variant>
        <vt:i4>5</vt:i4>
      </vt:variant>
      <vt:variant>
        <vt:lpwstr>mailto:JRHUBBER@southernco.com</vt:lpwstr>
      </vt:variant>
      <vt:variant>
        <vt:lpwstr/>
      </vt:variant>
      <vt:variant>
        <vt:i4>5308514</vt:i4>
      </vt:variant>
      <vt:variant>
        <vt:i4>0</vt:i4>
      </vt:variant>
      <vt:variant>
        <vt:i4>0</vt:i4>
      </vt:variant>
      <vt:variant>
        <vt:i4>5</vt:i4>
      </vt:variant>
      <vt:variant>
        <vt:lpwstr>mailto:CJMCCLOS@SOUTHERNCO.COM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Lisa Faith</dc:creator>
  <cp:keywords/>
  <cp:lastModifiedBy>Welsh, Erica L.</cp:lastModifiedBy>
  <cp:revision>67</cp:revision>
  <cp:lastPrinted>2025-07-03T18:54:00Z</cp:lastPrinted>
  <dcterms:created xsi:type="dcterms:W3CDTF">2025-07-03T13:07:00Z</dcterms:created>
  <dcterms:modified xsi:type="dcterms:W3CDTF">2025-07-03T18:54:00Z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0x0101006E022C42DF2B2F42B01720971598790C</vt:lpwstr>
  </property>
  <property fmtid="{D5CDD505-2E9C-101B-9397-08002B2CF9AE}" pid="3" name="MSIP_Label_ed3826ce-7c18-471d-9596-93de5bae332e_Enabled">
    <vt:lpwstr>true</vt:lpwstr>
  </property>
  <property fmtid="{D5CDD505-2E9C-101B-9397-08002B2CF9AE}" pid="4" name="MSIP_Label_ed3826ce-7c18-471d-9596-93de5bae332e_SetDate">
    <vt:lpwstr>2025-06-27T22:06:22Z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583e9a7a-71a6-4994-a261-e85b51cd148f</vt:lpwstr>
  </property>
  <property fmtid="{D5CDD505-2E9C-101B-9397-08002B2CF9AE}" pid="9" name="MSIP_Label_ed3826ce-7c18-471d-9596-93de5bae332e_ContentBits">
    <vt:lpwstr>0</vt:lpwstr>
  </property>
  <property fmtid="{D5CDD505-2E9C-101B-9397-08002B2CF9AE}" pid="10" name="MSIP_Label_ed3826ce-7c18-471d-9596-93de5bae332e_Tag">
    <vt:lpwstr>10, 3, 0, 2</vt:lpwstr>
  </property>
  <property fmtid="{D5CDD505-2E9C-101B-9397-08002B2CF9AE}" pid="11" name="SWDocID">
    <vt:lpwstr>317037824v2</vt:lpwstr>
  </property>
</Properties>
</file>